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CB0" w:rsidRDefault="00F24EC4" w:rsidP="00445CB0">
      <w:pPr>
        <w:jc w:val="center"/>
      </w:pPr>
      <w:bookmarkStart w:id="0" w:name="_GoBack"/>
      <w:bookmarkEnd w:id="0"/>
      <w:r w:rsidRPr="002E6005">
        <w:rPr>
          <w:noProof/>
          <w:sz w:val="16"/>
          <w:shd w:val="clear" w:color="auto" w:fill="31849B" w:themeFill="accent5" w:themeFillShade="BF"/>
          <w:lang w:val="en-US"/>
        </w:rPr>
        <w:drawing>
          <wp:anchor distT="0" distB="0" distL="114300" distR="114300" simplePos="0" relativeHeight="251655680" behindDoc="0" locked="0" layoutInCell="1" allowOverlap="1" wp14:anchorId="34B006C3" wp14:editId="60003BE2">
            <wp:simplePos x="0" y="0"/>
            <wp:positionH relativeFrom="column">
              <wp:posOffset>890270</wp:posOffset>
            </wp:positionH>
            <wp:positionV relativeFrom="paragraph">
              <wp:posOffset>-479635</wp:posOffset>
            </wp:positionV>
            <wp:extent cx="3645789" cy="977462"/>
            <wp:effectExtent l="0" t="0" r="0" b="0"/>
            <wp:wrapNone/>
            <wp:docPr id="20" name="Imagen 20"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5789" cy="977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BF8">
        <w:rPr>
          <w:noProof/>
          <w:sz w:val="16"/>
          <w:lang w:val="en-US"/>
        </w:rPr>
        <mc:AlternateContent>
          <mc:Choice Requires="wps">
            <w:drawing>
              <wp:anchor distT="0" distB="0" distL="114300" distR="114300" simplePos="0" relativeHeight="251649536" behindDoc="1" locked="0" layoutInCell="1" allowOverlap="1" wp14:anchorId="53550649" wp14:editId="7FDF108F">
                <wp:simplePos x="0" y="0"/>
                <wp:positionH relativeFrom="column">
                  <wp:posOffset>-1184275</wp:posOffset>
                </wp:positionH>
                <wp:positionV relativeFrom="paragraph">
                  <wp:posOffset>-1080135</wp:posOffset>
                </wp:positionV>
                <wp:extent cx="7895590" cy="10247630"/>
                <wp:effectExtent l="0" t="0" r="10160" b="20320"/>
                <wp:wrapNone/>
                <wp:docPr id="1" name="1 Rectángulo"/>
                <wp:cNvGraphicFramePr/>
                <a:graphic xmlns:a="http://schemas.openxmlformats.org/drawingml/2006/main">
                  <a:graphicData uri="http://schemas.microsoft.com/office/word/2010/wordprocessingShape">
                    <wps:wsp>
                      <wps:cNvSpPr/>
                      <wps:spPr>
                        <a:xfrm>
                          <a:off x="0" y="0"/>
                          <a:ext cx="7895590" cy="1024763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637A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50649" id="1 Rectángulo" o:spid="_x0000_s1026" style="position:absolute;left:0;text-align:left;margin-left:-93.25pt;margin-top:-85.05pt;width:621.7pt;height:80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FgnQIAAKMFAAAOAAAAZHJzL2Uyb0RvYy54bWysVM1u2zAMvg/YOwi6r7azpD9BnSJo0WFA&#10;1xZth54VWYoNSKImKbGzt9mz7MVGyY4bdMUGDMtBIUXyo/iZ5PlFpxXZCucbMCUtjnJKhOFQNWZd&#10;0q9P1x9OKfGBmYopMKKkO+HpxeL9u/PWzsUEalCVcARBjJ+3tqR1CHaeZZ7XQjN/BFYYNEpwmgVU&#10;3TqrHGsRXatskufHWQuusg648B5vr3ojXSR8KQUPd1J6EYgqKb4tpNOlcxXPbHHO5mvHbN3w4Rns&#10;H16hWWMw6Qh1xQIjG9f8BqUb7sCDDEccdAZSNlykGrCaIn9VzWPNrEi1IDnejjT5/wfLb7f3jjQV&#10;fjtKDNP4iQrygLT9/GHWGwWRoNb6Ofo92ns3aB7FWG0nnY7/WAfpEqm7kVTRBcLx8uT0bDY7Q+45&#10;2op8Mj05/ph4z17irfPhkwBNolBSh/kTm2x74wPmRNe9S0znQTXVdaNUUmKriEvlyJbhR2acCxMm&#10;KVxt9Beo+vtZjr9YDWKl7oohvfaClsVS++KSFHZKxBzKPAiJLGE5PfKIcJi0SEl9zSrxt5wJMCJL&#10;rGLEHgDeKqgYnj74x1CR2nsMzvvsfwoeI1JmMGEM1o0B9xaACmPm3h8pO6AmiqFbdUNfrKDaYTs5&#10;6OfMW37d4Be9YT7cM4eDhW2AyyLc4SEVtCWFQaKkBvf9rfvoj/2OVkpaHNSS+m8b5gQl6rPBSTgr&#10;ptM42UmZzk4mqLhDy+rQYjb6ErBNsNvxdUmM/kHtRelAP+NOWcasaGKGY+6S8uD2ymXoFwhuJS6W&#10;y+SG02xZuDGPlkfwSHDs2KfumTk7tHXAkbiF/VCz+avu7n1jpIHlJoBsUutHinteB+pxE6S+HbZW&#10;XDWHevJ62a2LXwAAAP//AwBQSwMEFAAGAAgAAAAhAIUIuFDhAAAADwEAAA8AAABkcnMvZG93bnJl&#10;di54bWxMj8tugzAQRfeV+g/WVOouMTQBUoqJqj72bRJ1bfAUUO0xwibQfH3NKt3d0RzdOVPsZ6PZ&#10;GQfXWRIQryNgSLVVHTUCTsf31Q6Y85KU1JZQwC862Je3N4XMlZ3oE88H37BQQi6XAlrv+5xzV7do&#10;pFvbHinsvu1gpA/j0HA1yCmUG80foijlRnYULrSyx5cW65/DaARMm/Hy2tfJ8e2kbXqZPir9NWdC&#10;3N/Nz0/APM7+CsOiH9ShDE6VHUk5pgWs4l2aBHZJWRQDW5goSR+BVSFtt5sMeFnw/3+UfwAAAP//&#10;AwBQSwECLQAUAAYACAAAACEAtoM4kv4AAADhAQAAEwAAAAAAAAAAAAAAAAAAAAAAW0NvbnRlbnRf&#10;VHlwZXNdLnhtbFBLAQItABQABgAIAAAAIQA4/SH/1gAAAJQBAAALAAAAAAAAAAAAAAAAAC8BAABf&#10;cmVscy8ucmVsc1BLAQItABQABgAIAAAAIQCT8RFgnQIAAKMFAAAOAAAAAAAAAAAAAAAAAC4CAABk&#10;cnMvZTJvRG9jLnhtbFBLAQItABQABgAIAAAAIQCFCLhQ4QAAAA8BAAAPAAAAAAAAAAAAAAAAAPcE&#10;AABkcnMvZG93bnJldi54bWxQSwUGAAAAAAQABADzAAAABQYAAAAA&#10;" fillcolor="#622423 [1605]" strokecolor="#243f60 [1604]" strokeweight="2pt">
                <v:textbox>
                  <w:txbxContent>
                    <w:p w:rsidR="00E0113E" w:rsidRDefault="00E0113E" w:rsidP="00637AFA">
                      <w:pPr>
                        <w:jc w:val="center"/>
                      </w:pPr>
                    </w:p>
                  </w:txbxContent>
                </v:textbox>
              </v:rect>
            </w:pict>
          </mc:Fallback>
        </mc:AlternateContent>
      </w:r>
    </w:p>
    <w:p w:rsidR="00445CB0" w:rsidRDefault="00445CB0" w:rsidP="00445CB0">
      <w:pPr>
        <w:jc w:val="center"/>
      </w:pPr>
    </w:p>
    <w:p w:rsidR="00445CB0" w:rsidRDefault="00F24EC4" w:rsidP="00445CB0">
      <w:pPr>
        <w:jc w:val="center"/>
      </w:pPr>
      <w:r>
        <w:rPr>
          <w:noProof/>
          <w:lang w:val="en-US"/>
        </w:rPr>
        <mc:AlternateContent>
          <mc:Choice Requires="wps">
            <w:drawing>
              <wp:anchor distT="0" distB="0" distL="114300" distR="114300" simplePos="0" relativeHeight="251651584" behindDoc="1" locked="0" layoutInCell="1" allowOverlap="1" wp14:anchorId="2B8B2953" wp14:editId="14BD13DF">
                <wp:simplePos x="0" y="0"/>
                <wp:positionH relativeFrom="column">
                  <wp:posOffset>1063625</wp:posOffset>
                </wp:positionH>
                <wp:positionV relativeFrom="paragraph">
                  <wp:posOffset>7620</wp:posOffset>
                </wp:positionV>
                <wp:extent cx="5653405" cy="3197860"/>
                <wp:effectExtent l="0" t="0" r="4445" b="2540"/>
                <wp:wrapNone/>
                <wp:docPr id="16" name="16 Rectángulo"/>
                <wp:cNvGraphicFramePr/>
                <a:graphic xmlns:a="http://schemas.openxmlformats.org/drawingml/2006/main">
                  <a:graphicData uri="http://schemas.microsoft.com/office/word/2010/wordprocessingShape">
                    <wps:wsp>
                      <wps:cNvSpPr/>
                      <wps:spPr>
                        <a:xfrm>
                          <a:off x="0" y="0"/>
                          <a:ext cx="5653405" cy="319786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2F123" id="16 Rectángulo" o:spid="_x0000_s1026" style="position:absolute;margin-left:83.75pt;margin-top:.6pt;width:445.15pt;height:25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DtpQIAALEFAAAOAAAAZHJzL2Uyb0RvYy54bWysVMFu2zAMvQ/YPwi6r7bTJG2DOkXQosOA&#10;ri3aDj2rshQbkERNUuJkf7Nv6Y+Nkh0364Idhl1sUSQfySeS5xcbrchaON+AKWlxlFMiDIeqMcuS&#10;fnu6/nRKiQ/MVEyBESXdCk8v5h8/nLd2JkZQg6qEIwhi/Ky1Ja1DsLMs87wWmvkjsMKgUoLTLKDo&#10;llnlWIvoWmWjPJ9mLbjKOuDCe7y96pR0nvClFDzcSelFIKqkmFtIX5e+L/Gbzc/ZbOmYrRvep8H+&#10;IQvNGoNBB6grFhhZueYPKN1wBx5kOOKgM5Cy4SLVgNUU+btqHmtmRaoFyfF2oMn/P1h+u753pKnw&#10;7aaUGKbxjYopeUDiXn+a5UpBpKi1foaWj/be9ZLHY6x3I52Of6yEbBKt24FWsQmE4+VkOjke5xNK&#10;OOqOi7OT02kiPntzt86HzwI0iYeSOgyf6GTrGx8wJJruTGI0D6qprhulkhB7RVwqR9YMX5lxLkyY&#10;Jne10l+h6u5PJnm+C5vaK7ok5N/QlImYBiJ6FzjeZJGBruZ0Clslop0yD0IifVjlKEUckPeTKTpV&#10;zSrRXcdUDueSACOyxPgDdg9wqNAivg/S09tHV5H6fnDO/5ZY5zx4pMhgwuCsGwPuEIAKQ+TOfkdS&#10;R01k6QWqLTaXg27qvOXXDT7vDfPhnjkcMxxIXB3hDj9SQVtS6E+U1OB+HLqP9tj9qKWkxbEtqf++&#10;Yk5Qor4YnIuzYjyOc56E8eRkhILb17zsa8xKXwL2TIFLyvJ0jPZB7Y7SgX7GDbOIUVHFDMfYJeXB&#10;7YTL0K0T3FFcLBbJDGfbsnBjHi2P4JHV2L5Pm2fmbN/jAcfjFnYjzmbvWr2zjZ4GFqsAsklz8MZr&#10;zzfuhfT+/Q6Li2dfTlZvm3b+CwAA//8DAFBLAwQUAAYACAAAACEAY3t5h98AAAAKAQAADwAAAGRy&#10;cy9kb3ducmV2LnhtbEyPQUvDQBCF74L/YRnBm921mKam2ZQieBBEbC3F4yY7TYLZ2ZDdNtFf7/Sk&#10;t3m8x5vv5evJdeKMQ2g9abifKRBIlbct1Rr2H893SxAhGrKm84QavjHAuri+yk1m/UhbPO9iLbiE&#10;QmY0NDH2mZShatCZMPM9EntHPzgTWQ61tIMZudx1cq7UQjrTEn9oTI9PDVZfu5PT8LjBNzvuP2P3&#10;Ov7YA76nLwdfan17M21WICJO8S8MF3xGh4KZSn8iG0THepEmHOVjDuLiqyTlLaWGRD0sQRa5/D+h&#10;+AUAAP//AwBQSwECLQAUAAYACAAAACEAtoM4kv4AAADhAQAAEwAAAAAAAAAAAAAAAAAAAAAAW0Nv&#10;bnRlbnRfVHlwZXNdLnhtbFBLAQItABQABgAIAAAAIQA4/SH/1gAAAJQBAAALAAAAAAAAAAAAAAAA&#10;AC8BAABfcmVscy8ucmVsc1BLAQItABQABgAIAAAAIQCVWYDtpQIAALEFAAAOAAAAAAAAAAAAAAAA&#10;AC4CAABkcnMvZTJvRG9jLnhtbFBLAQItABQABgAIAAAAIQBje3mH3wAAAAoBAAAPAAAAAAAAAAAA&#10;AAAAAP8EAABkcnMvZG93bnJldi54bWxQSwUGAAAAAAQABADzAAAACwYAAAAA&#10;" fillcolor="#e36c0a [2409]" stroked="f" strokeweight="2pt"/>
            </w:pict>
          </mc:Fallback>
        </mc:AlternateContent>
      </w:r>
    </w:p>
    <w:p w:rsidR="00445CB0" w:rsidRDefault="00445CB0" w:rsidP="00445CB0">
      <w:pPr>
        <w:ind w:left="2552" w:right="-518"/>
        <w:jc w:val="center"/>
        <w:rPr>
          <w:b/>
          <w:color w:val="948A54" w:themeColor="background2" w:themeShade="80"/>
          <w:sz w:val="40"/>
          <w:szCs w:val="40"/>
        </w:rPr>
      </w:pPr>
    </w:p>
    <w:p w:rsidR="00445CB0" w:rsidRPr="00807941" w:rsidRDefault="00445CB0" w:rsidP="00807941">
      <w:pPr>
        <w:ind w:left="1843" w:right="-518"/>
        <w:jc w:val="right"/>
        <w:rPr>
          <w:rFonts w:ascii="Maiandra GD" w:hAnsi="Maiandra GD"/>
          <w:color w:val="1D1B11" w:themeColor="background2" w:themeShade="1A"/>
          <w:sz w:val="52"/>
          <w:szCs w:val="52"/>
        </w:rPr>
      </w:pPr>
      <w:r w:rsidRPr="00807941">
        <w:rPr>
          <w:rFonts w:ascii="Maiandra GD" w:hAnsi="Maiandra GD"/>
          <w:b/>
          <w:color w:val="1D1B11" w:themeColor="background2" w:themeShade="1A"/>
          <w:sz w:val="52"/>
          <w:szCs w:val="52"/>
        </w:rPr>
        <w:t>EVALUACIÓN ESPECÍFICA DE DESEMPEÑO PARTICIPACIONES FEDERALES A ENTIDADES FEDERATIVAS 2017</w:t>
      </w:r>
    </w:p>
    <w:p w:rsidR="00445CB0" w:rsidRDefault="00445CB0" w:rsidP="00445CB0"/>
    <w:p w:rsidR="00445CB0" w:rsidRDefault="00445CB0" w:rsidP="00445CB0"/>
    <w:p w:rsidR="00445CB0" w:rsidRDefault="00445CB0" w:rsidP="00445CB0"/>
    <w:p w:rsidR="00445CB0" w:rsidRDefault="00445CB0" w:rsidP="00445CB0"/>
    <w:p w:rsidR="00445CB0" w:rsidRDefault="00E860AF" w:rsidP="00445CB0">
      <w:r>
        <w:rPr>
          <w:noProof/>
          <w:lang w:val="en-US"/>
        </w:rPr>
        <mc:AlternateContent>
          <mc:Choice Requires="wps">
            <w:drawing>
              <wp:anchor distT="0" distB="0" distL="114300" distR="114300" simplePos="0" relativeHeight="251654656" behindDoc="1" locked="0" layoutInCell="1" allowOverlap="1" wp14:anchorId="6028A2EC" wp14:editId="11FF2B5A">
                <wp:simplePos x="0" y="0"/>
                <wp:positionH relativeFrom="column">
                  <wp:posOffset>-1080135</wp:posOffset>
                </wp:positionH>
                <wp:positionV relativeFrom="paragraph">
                  <wp:posOffset>158115</wp:posOffset>
                </wp:positionV>
                <wp:extent cx="4702175" cy="3169920"/>
                <wp:effectExtent l="0" t="0" r="3175" b="0"/>
                <wp:wrapNone/>
                <wp:docPr id="17" name="17 Rectángulo"/>
                <wp:cNvGraphicFramePr/>
                <a:graphic xmlns:a="http://schemas.openxmlformats.org/drawingml/2006/main">
                  <a:graphicData uri="http://schemas.microsoft.com/office/word/2010/wordprocessingShape">
                    <wps:wsp>
                      <wps:cNvSpPr/>
                      <wps:spPr>
                        <a:xfrm>
                          <a:off x="0" y="0"/>
                          <a:ext cx="4702175" cy="31699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Pr="009B2CFF" w:rsidRDefault="00E0113E" w:rsidP="00445CB0">
                            <w:pPr>
                              <w:autoSpaceDE w:val="0"/>
                              <w:autoSpaceDN w:val="0"/>
                              <w:adjustRightInd w:val="0"/>
                              <w:spacing w:after="0" w:line="240" w:lineRule="auto"/>
                              <w:jc w:val="center"/>
                              <w:rPr>
                                <w:rFonts w:ascii="Times New Roman" w:eastAsia="Times New Roman" w:hAnsi="Times New Roman" w:cs="Times New Roman"/>
                                <w:color w:val="000000"/>
                                <w:sz w:val="20"/>
                                <w:szCs w:val="16"/>
                              </w:rPr>
                            </w:pPr>
                            <w:r w:rsidRPr="009B2CFF">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2CFF">
                              <w:rPr>
                                <w:rFonts w:ascii="Times New Roman" w:eastAsia="Times New Roman" w:hAnsi="Times New Roman" w:cs="Times New Roman"/>
                                <w:color w:val="000000"/>
                                <w:sz w:val="20"/>
                                <w:szCs w:val="16"/>
                              </w:rPr>
                              <w:t xml:space="preserve"> GRUPO DE INVESTIGACIÓN EN</w:t>
                            </w:r>
                          </w:p>
                          <w:p w:rsidR="00E0113E" w:rsidRPr="009B2CFF" w:rsidRDefault="00E0113E" w:rsidP="00445CB0">
                            <w:pPr>
                              <w:rPr>
                                <w:rFonts w:ascii="Times New Roman" w:eastAsia="Times New Roman" w:hAnsi="Times New Roman" w:cs="Times New Roman"/>
                                <w:color w:val="000000"/>
                                <w:sz w:val="20"/>
                                <w:szCs w:val="16"/>
                              </w:rPr>
                            </w:pPr>
                            <w:r w:rsidRPr="009B2CFF">
                              <w:rPr>
                                <w:rFonts w:ascii="Times New Roman" w:eastAsia="Times New Roman" w:hAnsi="Times New Roman" w:cs="Times New Roman"/>
                                <w:color w:val="000000"/>
                                <w:sz w:val="20"/>
                                <w:szCs w:val="16"/>
                              </w:rPr>
                              <w:t xml:space="preserve">                                                  </w:t>
                            </w:r>
                            <w:r>
                              <w:rPr>
                                <w:rFonts w:ascii="Times New Roman" w:eastAsia="Times New Roman" w:hAnsi="Times New Roman" w:cs="Times New Roman"/>
                                <w:color w:val="000000"/>
                                <w:sz w:val="20"/>
                                <w:szCs w:val="16"/>
                              </w:rPr>
                              <w:t xml:space="preserve">     </w:t>
                            </w:r>
                            <w:r w:rsidRPr="009B2CFF">
                              <w:rPr>
                                <w:rFonts w:ascii="Times New Roman" w:eastAsia="Times New Roman" w:hAnsi="Times New Roman" w:cs="Times New Roman"/>
                                <w:color w:val="000000"/>
                                <w:sz w:val="20"/>
                                <w:szCs w:val="16"/>
                              </w:rPr>
                              <w:t>CONSULTORÍA ESPECIALIZADA</w:t>
                            </w:r>
                          </w:p>
                          <w:p w:rsidR="00E0113E" w:rsidRDefault="00E0113E" w:rsidP="00445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8A2EC" id="17 Rectángulo" o:spid="_x0000_s1027" style="position:absolute;margin-left:-85.05pt;margin-top:12.45pt;width:370.25pt;height:24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J8sQIAAL8FAAAOAAAAZHJzL2Uyb0RvYy54bWysVM1u2zAMvg/YOwi6r7aztFmDOkXQosOA&#10;rg3aDj0rshwbkERNUuJkb7Nn2YuNkmz3Z8UOwy62KJIfyU8kz873SpKdsK4FXdLiKKdEaA5Vqzcl&#10;/fZw9eETJc4zXTEJWpT0IBw9X7x/d9aZuZhAA7ISliCIdvPOlLTx3syzzPFGKOaOwAiNyhqsYh5F&#10;u8kqyzpEVzKb5PlJ1oGtjAUunMPby6Ski4hf14L727p2whNZUszNx6+N33X4ZoszNt9YZpqW92mw&#10;f8hCsVZj0BHqknlGtrb9A0q13IKD2h9xUBnUdctFrAGrKfJX1dw3zIhYC5LjzEiT+3+w/Ga3sqSt&#10;8O1mlGim8I2KGblD4n791JuthEBRZ9wcLe/NyvaSw2Ood19bFf5YCdlHWg8jrWLvCcfL6SyfFLNj&#10;SjjqPhYnp6eTSHz25G6s858FKBIOJbUYPtLJdtfOY0g0HUxCNAeyra5aKaMQekVcSEt2DF95vSmi&#10;q9yqr1Clu5PjPB9CxtYK5hH1BZLUAU9DQE5Bw00Wqk/1xpM/SBHspL4TNVKHFU5ixBE5BWWcC+1T&#10;Mq5hlUjXIZW3c4mAAbnG+CN2D/CyyAE7ZdnbB1cRe350zv+WWHIePWJk0H50Vq0G+xaAxKr6yMl+&#10;IClRE1jy+/U+tdXQP2uoDthqFtIMOsOvWnzsa+b8ilkcOhxPXCT+Fj+1hK6k0J8oacD+eOs+2OMs&#10;oJaSDoe4pO77lllBifyicUpOi+k0TH0Upscz7Dtin2vWzzV6qy4AO6jAlWV4PAZ7L4djbUE94r5Z&#10;hqioYppj7JJybwfhwqflghuLi+UymuGkG+av9b3hATzwHJr5Yf/IrOk73uOw3MAw8Gz+qvGTbfDU&#10;sNx6qNs4FYHpxGv/ArglYlv3Gy2soedytHrau4vfAAAA//8DAFBLAwQUAAYACAAAACEA5msJ2eAA&#10;AAALAQAADwAAAGRycy9kb3ducmV2LnhtbEyPwU7DMAyG70i8Q2QkblvSqNBRmk5jElckBhJwy5rQ&#10;ViRO1aRd2dNjTnCz5U+/v7/aLt6x2Y6xD6ggWwtgFptgemwVvL48rjbAYtJotAtoFXzbCNv68qLS&#10;pQknfLbzIbWMQjCWWkGX0lByHpvOeh3XYbBIt88wep1oHVtuRn2icO+4FOKWe90jfej0YPedbb4O&#10;k1eAH3JOxdm9T+enzU4aFx7e9kGp66tldw8s2SX9wfCrT+pQk9MxTGgicwpWWSEyYhXI/A4YETeF&#10;yIEdaZB5Bryu+P8O9Q8AAAD//wMAUEsBAi0AFAAGAAgAAAAhALaDOJL+AAAA4QEAABMAAAAAAAAA&#10;AAAAAAAAAAAAAFtDb250ZW50X1R5cGVzXS54bWxQSwECLQAUAAYACAAAACEAOP0h/9YAAACUAQAA&#10;CwAAAAAAAAAAAAAAAAAvAQAAX3JlbHMvLnJlbHNQSwECLQAUAAYACAAAACEAiFJSfLECAAC/BQAA&#10;DgAAAAAAAAAAAAAAAAAuAgAAZHJzL2Uyb0RvYy54bWxQSwECLQAUAAYACAAAACEA5msJ2eAAAAAL&#10;AQAADwAAAAAAAAAAAAAAAAALBQAAZHJzL2Rvd25yZXYueG1sUEsFBgAAAAAEAAQA8wAAABgGAAAA&#10;AA==&#10;" fillcolor="#a5a5a5 [2092]" stroked="f" strokeweight="2pt">
                <v:textbox>
                  <w:txbxContent>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445CB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Pr="009B2CFF" w:rsidRDefault="00E0113E" w:rsidP="00445CB0">
                      <w:pPr>
                        <w:autoSpaceDE w:val="0"/>
                        <w:autoSpaceDN w:val="0"/>
                        <w:adjustRightInd w:val="0"/>
                        <w:spacing w:after="0" w:line="240" w:lineRule="auto"/>
                        <w:jc w:val="center"/>
                        <w:rPr>
                          <w:rFonts w:ascii="Times New Roman" w:eastAsia="Times New Roman" w:hAnsi="Times New Roman" w:cs="Times New Roman"/>
                          <w:color w:val="000000"/>
                          <w:sz w:val="20"/>
                          <w:szCs w:val="16"/>
                        </w:rPr>
                      </w:pPr>
                      <w:r w:rsidRPr="009B2CFF">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2CFF">
                        <w:rPr>
                          <w:rFonts w:ascii="Times New Roman" w:eastAsia="Times New Roman" w:hAnsi="Times New Roman" w:cs="Times New Roman"/>
                          <w:color w:val="000000"/>
                          <w:sz w:val="20"/>
                          <w:szCs w:val="16"/>
                        </w:rPr>
                        <w:t xml:space="preserve"> GRUPO DE INVESTIGACIÓN EN</w:t>
                      </w:r>
                    </w:p>
                    <w:p w:rsidR="00E0113E" w:rsidRPr="009B2CFF" w:rsidRDefault="00E0113E" w:rsidP="00445CB0">
                      <w:pPr>
                        <w:rPr>
                          <w:rFonts w:ascii="Times New Roman" w:eastAsia="Times New Roman" w:hAnsi="Times New Roman" w:cs="Times New Roman"/>
                          <w:color w:val="000000"/>
                          <w:sz w:val="20"/>
                          <w:szCs w:val="16"/>
                        </w:rPr>
                      </w:pPr>
                      <w:r w:rsidRPr="009B2CFF">
                        <w:rPr>
                          <w:rFonts w:ascii="Times New Roman" w:eastAsia="Times New Roman" w:hAnsi="Times New Roman" w:cs="Times New Roman"/>
                          <w:color w:val="000000"/>
                          <w:sz w:val="20"/>
                          <w:szCs w:val="16"/>
                        </w:rPr>
                        <w:t xml:space="preserve">                                                  </w:t>
                      </w:r>
                      <w:r>
                        <w:rPr>
                          <w:rFonts w:ascii="Times New Roman" w:eastAsia="Times New Roman" w:hAnsi="Times New Roman" w:cs="Times New Roman"/>
                          <w:color w:val="000000"/>
                          <w:sz w:val="20"/>
                          <w:szCs w:val="16"/>
                        </w:rPr>
                        <w:t xml:space="preserve">     </w:t>
                      </w:r>
                      <w:r w:rsidRPr="009B2CFF">
                        <w:rPr>
                          <w:rFonts w:ascii="Times New Roman" w:eastAsia="Times New Roman" w:hAnsi="Times New Roman" w:cs="Times New Roman"/>
                          <w:color w:val="000000"/>
                          <w:sz w:val="20"/>
                          <w:szCs w:val="16"/>
                        </w:rPr>
                        <w:t>CONSULTORÍA ESPECIALIZADA</w:t>
                      </w:r>
                    </w:p>
                    <w:p w:rsidR="00E0113E" w:rsidRDefault="00E0113E" w:rsidP="00445CB0">
                      <w:pPr>
                        <w:jc w:val="center"/>
                      </w:pPr>
                    </w:p>
                  </w:txbxContent>
                </v:textbox>
              </v:rect>
            </w:pict>
          </mc:Fallback>
        </mc:AlternateContent>
      </w:r>
    </w:p>
    <w:p w:rsidR="00445CB0" w:rsidRDefault="00445CB0" w:rsidP="00445CB0"/>
    <w:p w:rsidR="00445CB0" w:rsidRDefault="00E615A4" w:rsidP="00445CB0">
      <w:r>
        <w:rPr>
          <w:noProof/>
          <w:lang w:val="en-US"/>
        </w:rPr>
        <w:drawing>
          <wp:anchor distT="0" distB="0" distL="114300" distR="114300" simplePos="0" relativeHeight="251683328" behindDoc="0" locked="0" layoutInCell="1" allowOverlap="1" wp14:anchorId="0A79601D" wp14:editId="6D68FCB8">
            <wp:simplePos x="0" y="0"/>
            <wp:positionH relativeFrom="column">
              <wp:posOffset>4091305</wp:posOffset>
            </wp:positionH>
            <wp:positionV relativeFrom="paragraph">
              <wp:posOffset>166370</wp:posOffset>
            </wp:positionV>
            <wp:extent cx="2131695" cy="701040"/>
            <wp:effectExtent l="0" t="0" r="1905" b="381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1695"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CB0" w:rsidRDefault="00445CB0" w:rsidP="00445CB0"/>
    <w:p w:rsidR="00445CB0" w:rsidRDefault="00807941" w:rsidP="00445CB0">
      <w:r>
        <w:rPr>
          <w:noProof/>
          <w:lang w:val="en-US"/>
        </w:rPr>
        <w:drawing>
          <wp:anchor distT="0" distB="0" distL="114300" distR="114300" simplePos="0" relativeHeight="251645440" behindDoc="1" locked="0" layoutInCell="1" allowOverlap="1" wp14:anchorId="03735ABE" wp14:editId="7B6CE9A9">
            <wp:simplePos x="0" y="0"/>
            <wp:positionH relativeFrom="column">
              <wp:posOffset>4410710</wp:posOffset>
            </wp:positionH>
            <wp:positionV relativeFrom="paragraph">
              <wp:posOffset>51435</wp:posOffset>
            </wp:positionV>
            <wp:extent cx="1567180" cy="1567180"/>
            <wp:effectExtent l="0" t="0" r="0" b="0"/>
            <wp:wrapNone/>
            <wp:docPr id="3" name="Imagen 3" descr="Resultado de imagen para spf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pf bc"/>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56718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CB0" w:rsidRDefault="00445CB0" w:rsidP="00445CB0"/>
    <w:p w:rsidR="00445CB0" w:rsidRDefault="00445CB0" w:rsidP="00445CB0"/>
    <w:p w:rsidR="00445CB0" w:rsidRDefault="00445CB0" w:rsidP="00445CB0"/>
    <w:p w:rsidR="00445CB0" w:rsidRDefault="00445CB0" w:rsidP="00137C5E"/>
    <w:p w:rsidR="00137C5E" w:rsidRDefault="00137C5E" w:rsidP="00137C5E"/>
    <w:p w:rsidR="00137C5E" w:rsidRDefault="00137C5E" w:rsidP="00137C5E"/>
    <w:p w:rsidR="00445CB0" w:rsidRPr="000825F1" w:rsidRDefault="00445CB0" w:rsidP="00445CB0">
      <w:pPr>
        <w:pStyle w:val="Heading1"/>
        <w:rPr>
          <w:color w:val="1D1B11" w:themeColor="background2" w:themeShade="1A"/>
        </w:rPr>
      </w:pPr>
      <w:bookmarkStart w:id="1" w:name="_Toc520556930"/>
      <w:r w:rsidRPr="000825F1">
        <w:rPr>
          <w:color w:val="1D1B11" w:themeColor="background2" w:themeShade="1A"/>
        </w:rPr>
        <w:t>PRESENTACIÓN</w:t>
      </w:r>
      <w:bookmarkEnd w:id="1"/>
    </w:p>
    <w:p w:rsidR="00445CB0" w:rsidRPr="009B3A8E" w:rsidRDefault="000825F1" w:rsidP="00445CB0">
      <w:r>
        <w:rPr>
          <w:noProof/>
          <w:lang w:val="en-US"/>
        </w:rPr>
        <mc:AlternateContent>
          <mc:Choice Requires="wps">
            <w:drawing>
              <wp:anchor distT="0" distB="0" distL="114300" distR="114300" simplePos="0" relativeHeight="251652608" behindDoc="0" locked="0" layoutInCell="1" allowOverlap="1" wp14:anchorId="02998B14" wp14:editId="5779248E">
                <wp:simplePos x="0" y="0"/>
                <wp:positionH relativeFrom="column">
                  <wp:posOffset>-46990</wp:posOffset>
                </wp:positionH>
                <wp:positionV relativeFrom="paragraph">
                  <wp:posOffset>146685</wp:posOffset>
                </wp:positionV>
                <wp:extent cx="5924550" cy="6518275"/>
                <wp:effectExtent l="0" t="0" r="0" b="0"/>
                <wp:wrapNone/>
                <wp:docPr id="14" name="14 Rectángulo redondeado"/>
                <wp:cNvGraphicFramePr/>
                <a:graphic xmlns:a="http://schemas.openxmlformats.org/drawingml/2006/main">
                  <a:graphicData uri="http://schemas.microsoft.com/office/word/2010/wordprocessingShape">
                    <wps:wsp>
                      <wps:cNvSpPr/>
                      <wps:spPr>
                        <a:xfrm>
                          <a:off x="0" y="0"/>
                          <a:ext cx="5924550" cy="6518275"/>
                        </a:xfrm>
                        <a:prstGeom prst="round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BC34A6">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 xml:space="preserve">La presente Evaluación Específica de Desempeño corresponde a una valoración sintética del desempeño </w:t>
                            </w:r>
                            <w:r>
                              <w:rPr>
                                <w:rFonts w:ascii="Arial" w:eastAsia="Times New Roman" w:hAnsi="Arial" w:cs="Arial"/>
                                <w:b/>
                                <w:color w:val="FFFFFF" w:themeColor="background1"/>
                                <w:sz w:val="25"/>
                                <w:szCs w:val="25"/>
                                <w:lang w:eastAsia="es-MX"/>
                              </w:rPr>
                              <w:t>de</w:t>
                            </w:r>
                            <w:r w:rsidRPr="00BC34A6">
                              <w:rPr>
                                <w:rFonts w:ascii="Arial" w:eastAsia="Times New Roman" w:hAnsi="Arial" w:cs="Arial"/>
                                <w:b/>
                                <w:color w:val="FFFFFF" w:themeColor="background1"/>
                                <w:sz w:val="25"/>
                                <w:szCs w:val="25"/>
                                <w:lang w:eastAsia="es-MX"/>
                              </w:rPr>
                              <w:t xml:space="preserve">l gasto federalizado </w:t>
                            </w:r>
                            <w:r>
                              <w:rPr>
                                <w:rFonts w:ascii="Arial" w:eastAsia="Times New Roman" w:hAnsi="Arial" w:cs="Arial"/>
                                <w:b/>
                                <w:color w:val="FFFFFF" w:themeColor="background1"/>
                                <w:sz w:val="25"/>
                                <w:szCs w:val="25"/>
                                <w:lang w:eastAsia="es-MX"/>
                              </w:rPr>
                              <w:t>transfer</w:t>
                            </w:r>
                            <w:r w:rsidRPr="00BC34A6">
                              <w:rPr>
                                <w:rFonts w:ascii="Arial" w:eastAsia="Times New Roman" w:hAnsi="Arial" w:cs="Arial"/>
                                <w:b/>
                                <w:color w:val="FFFFFF" w:themeColor="background1"/>
                                <w:sz w:val="25"/>
                                <w:szCs w:val="25"/>
                                <w:lang w:eastAsia="es-MX"/>
                              </w:rPr>
                              <w:t>i</w:t>
                            </w:r>
                            <w:r>
                              <w:rPr>
                                <w:rFonts w:ascii="Arial" w:eastAsia="Times New Roman" w:hAnsi="Arial" w:cs="Arial"/>
                                <w:b/>
                                <w:color w:val="FFFFFF" w:themeColor="background1"/>
                                <w:sz w:val="25"/>
                                <w:szCs w:val="25"/>
                                <w:lang w:eastAsia="es-MX"/>
                              </w:rPr>
                              <w:t>do</w:t>
                            </w:r>
                            <w:r w:rsidRPr="00BC34A6">
                              <w:rPr>
                                <w:rFonts w:ascii="Arial" w:eastAsia="Times New Roman" w:hAnsi="Arial" w:cs="Arial"/>
                                <w:b/>
                                <w:color w:val="FFFFFF" w:themeColor="background1"/>
                                <w:sz w:val="25"/>
                                <w:szCs w:val="25"/>
                                <w:lang w:eastAsia="es-MX"/>
                              </w:rPr>
                              <w:t xml:space="preserve"> </w:t>
                            </w:r>
                            <w:r>
                              <w:rPr>
                                <w:rFonts w:ascii="Arial" w:eastAsia="Times New Roman" w:hAnsi="Arial" w:cs="Arial"/>
                                <w:b/>
                                <w:color w:val="FFFFFF" w:themeColor="background1"/>
                                <w:sz w:val="25"/>
                                <w:szCs w:val="25"/>
                                <w:lang w:eastAsia="es-MX"/>
                              </w:rPr>
                              <w:t>por la Federación a</w:t>
                            </w:r>
                            <w:r w:rsidRPr="00BC34A6">
                              <w:rPr>
                                <w:rFonts w:ascii="Arial" w:eastAsia="Times New Roman" w:hAnsi="Arial" w:cs="Arial"/>
                                <w:b/>
                                <w:color w:val="FFFFFF" w:themeColor="background1"/>
                                <w:sz w:val="25"/>
                                <w:szCs w:val="25"/>
                                <w:lang w:eastAsia="es-MX"/>
                              </w:rPr>
                              <w:t xml:space="preserve">l </w:t>
                            </w:r>
                            <w:r>
                              <w:rPr>
                                <w:rFonts w:ascii="Arial" w:eastAsia="Times New Roman" w:hAnsi="Arial" w:cs="Arial"/>
                                <w:b/>
                                <w:color w:val="FFFFFF" w:themeColor="background1"/>
                                <w:sz w:val="25"/>
                                <w:szCs w:val="25"/>
                                <w:lang w:eastAsia="es-MX"/>
                              </w:rPr>
                              <w:t>G</w:t>
                            </w:r>
                            <w:r w:rsidRPr="00BC34A6">
                              <w:rPr>
                                <w:rFonts w:ascii="Arial" w:eastAsia="Times New Roman" w:hAnsi="Arial" w:cs="Arial"/>
                                <w:b/>
                                <w:color w:val="FFFFFF" w:themeColor="background1"/>
                                <w:sz w:val="25"/>
                                <w:szCs w:val="25"/>
                                <w:lang w:eastAsia="es-MX"/>
                              </w:rPr>
                              <w:t xml:space="preserve">obiernos </w:t>
                            </w:r>
                            <w:r>
                              <w:rPr>
                                <w:rFonts w:ascii="Arial" w:eastAsia="Times New Roman" w:hAnsi="Arial" w:cs="Arial"/>
                                <w:b/>
                                <w:color w:val="FFFFFF" w:themeColor="background1"/>
                                <w:sz w:val="25"/>
                                <w:szCs w:val="25"/>
                                <w:lang w:eastAsia="es-MX"/>
                              </w:rPr>
                              <w:t>de Baja California</w:t>
                            </w:r>
                            <w:r w:rsidRPr="00BC34A6">
                              <w:rPr>
                                <w:rFonts w:ascii="Arial" w:eastAsia="Times New Roman" w:hAnsi="Arial" w:cs="Arial"/>
                                <w:b/>
                                <w:color w:val="FFFFFF" w:themeColor="background1"/>
                                <w:sz w:val="25"/>
                                <w:szCs w:val="25"/>
                                <w:lang w:eastAsia="es-MX"/>
                              </w:rPr>
                              <w:t xml:space="preserve">, </w:t>
                            </w:r>
                            <w:r>
                              <w:rPr>
                                <w:rFonts w:ascii="Arial" w:eastAsia="Times New Roman" w:hAnsi="Arial" w:cs="Arial"/>
                                <w:b/>
                                <w:color w:val="FFFFFF" w:themeColor="background1"/>
                                <w:sz w:val="25"/>
                                <w:szCs w:val="25"/>
                                <w:lang w:eastAsia="es-MX"/>
                              </w:rPr>
                              <w:t>que rep</w:t>
                            </w:r>
                            <w:r w:rsidRPr="00BC34A6">
                              <w:rPr>
                                <w:rFonts w:ascii="Arial" w:eastAsia="Times New Roman" w:hAnsi="Arial" w:cs="Arial"/>
                                <w:b/>
                                <w:color w:val="FFFFFF" w:themeColor="background1"/>
                                <w:sz w:val="25"/>
                                <w:szCs w:val="25"/>
                                <w:lang w:eastAsia="es-MX"/>
                              </w:rPr>
                              <w:t xml:space="preserve">resenta </w:t>
                            </w:r>
                            <w:r>
                              <w:rPr>
                                <w:rFonts w:ascii="Arial" w:eastAsia="Times New Roman" w:hAnsi="Arial" w:cs="Arial"/>
                                <w:b/>
                                <w:color w:val="FFFFFF" w:themeColor="background1"/>
                                <w:sz w:val="25"/>
                                <w:szCs w:val="25"/>
                                <w:lang w:eastAsia="es-MX"/>
                              </w:rPr>
                              <w:t>una de sus</w:t>
                            </w:r>
                            <w:r w:rsidRPr="00BC34A6">
                              <w:rPr>
                                <w:rFonts w:ascii="Arial" w:eastAsia="Times New Roman" w:hAnsi="Arial" w:cs="Arial"/>
                                <w:b/>
                                <w:color w:val="FFFFFF" w:themeColor="background1"/>
                                <w:sz w:val="25"/>
                                <w:szCs w:val="25"/>
                                <w:lang w:eastAsia="es-MX"/>
                              </w:rPr>
                              <w:t xml:space="preserve"> fuente</w:t>
                            </w:r>
                            <w:r>
                              <w:rPr>
                                <w:rFonts w:ascii="Arial" w:eastAsia="Times New Roman" w:hAnsi="Arial" w:cs="Arial"/>
                                <w:b/>
                                <w:color w:val="FFFFFF" w:themeColor="background1"/>
                                <w:sz w:val="25"/>
                                <w:szCs w:val="25"/>
                                <w:lang w:eastAsia="es-MX"/>
                              </w:rPr>
                              <w:t>s</w:t>
                            </w:r>
                            <w:r w:rsidRPr="00BC34A6">
                              <w:rPr>
                                <w:rFonts w:ascii="Arial" w:eastAsia="Times New Roman" w:hAnsi="Arial" w:cs="Arial"/>
                                <w:b/>
                                <w:color w:val="FFFFFF" w:themeColor="background1"/>
                                <w:sz w:val="25"/>
                                <w:szCs w:val="25"/>
                                <w:lang w:eastAsia="es-MX"/>
                              </w:rPr>
                              <w:t xml:space="preserve"> de financiamiento para el cumplimiento de sus obligaciones de gasto </w:t>
                            </w:r>
                            <w:r>
                              <w:rPr>
                                <w:rFonts w:ascii="Arial" w:eastAsia="Times New Roman" w:hAnsi="Arial" w:cs="Arial"/>
                                <w:b/>
                                <w:color w:val="FFFFFF" w:themeColor="background1"/>
                                <w:sz w:val="25"/>
                                <w:szCs w:val="25"/>
                                <w:lang w:eastAsia="es-MX"/>
                              </w:rPr>
                              <w:t>correspondiente a</w:t>
                            </w:r>
                            <w:r w:rsidRPr="00BC34A6">
                              <w:rPr>
                                <w:rFonts w:ascii="Arial" w:eastAsia="Times New Roman" w:hAnsi="Arial" w:cs="Arial"/>
                                <w:b/>
                                <w:color w:val="FFFFFF" w:themeColor="background1"/>
                                <w:sz w:val="25"/>
                                <w:szCs w:val="25"/>
                                <w:lang w:eastAsia="es-MX"/>
                              </w:rPr>
                              <w:t>l</w:t>
                            </w:r>
                            <w:r>
                              <w:rPr>
                                <w:rFonts w:ascii="Arial" w:eastAsia="Times New Roman" w:hAnsi="Arial" w:cs="Arial"/>
                                <w:b/>
                                <w:color w:val="FFFFFF" w:themeColor="background1"/>
                                <w:sz w:val="25"/>
                                <w:szCs w:val="25"/>
                                <w:lang w:eastAsia="es-MX"/>
                              </w:rPr>
                              <w:t xml:space="preserve"> </w:t>
                            </w:r>
                            <w:r w:rsidRPr="00BC34A6">
                              <w:rPr>
                                <w:rFonts w:ascii="Arial" w:eastAsia="Times New Roman" w:hAnsi="Arial" w:cs="Arial"/>
                                <w:b/>
                                <w:color w:val="FFFFFF" w:themeColor="background1"/>
                                <w:sz w:val="25"/>
                                <w:szCs w:val="25"/>
                                <w:lang w:eastAsia="es-MX"/>
                              </w:rPr>
                              <w:t>Ramo 28 Participaciones de los estados, municipios y Distrito Federal en ingresos federales</w:t>
                            </w:r>
                            <w:r>
                              <w:rPr>
                                <w:rFonts w:ascii="Arial" w:eastAsia="Times New Roman" w:hAnsi="Arial" w:cs="Arial"/>
                                <w:b/>
                                <w:color w:val="FFFFFF" w:themeColor="background1"/>
                                <w:sz w:val="25"/>
                                <w:szCs w:val="25"/>
                                <w:lang w:eastAsia="es-MX"/>
                              </w:rPr>
                              <w:t xml:space="preserve">, </w:t>
                            </w:r>
                            <w:r w:rsidRPr="00BC34A6">
                              <w:rPr>
                                <w:rFonts w:ascii="Arial" w:eastAsia="Times New Roman" w:hAnsi="Arial" w:cs="Arial"/>
                                <w:b/>
                                <w:color w:val="FFFFFF" w:themeColor="background1"/>
                                <w:sz w:val="25"/>
                                <w:szCs w:val="25"/>
                                <w:lang w:eastAsia="es-MX"/>
                              </w:rPr>
                              <w:t>(Participaciones Federales)</w:t>
                            </w:r>
                            <w:r w:rsidRPr="00380081">
                              <w:rPr>
                                <w:rFonts w:ascii="Arial" w:eastAsia="Times New Roman" w:hAnsi="Arial" w:cs="Arial"/>
                                <w:b/>
                                <w:color w:val="FFFFFF" w:themeColor="background1"/>
                                <w:sz w:val="25"/>
                                <w:szCs w:val="25"/>
                                <w:lang w:eastAsia="es-MX"/>
                              </w:rPr>
                              <w:t>.</w:t>
                            </w:r>
                          </w:p>
                          <w:p w:rsidR="00E0113E" w:rsidRPr="00380081" w:rsidRDefault="00E0113E" w:rsidP="00BC34A6">
                            <w:pPr>
                              <w:spacing w:before="240" w:after="240" w:line="240" w:lineRule="auto"/>
                              <w:jc w:val="both"/>
                              <w:rPr>
                                <w:b/>
                                <w:color w:val="FFFFFF" w:themeColor="background1"/>
                                <w:sz w:val="25"/>
                                <w:szCs w:val="25"/>
                              </w:rPr>
                            </w:pPr>
                            <w:r w:rsidRPr="00380081">
                              <w:rPr>
                                <w:rFonts w:ascii="Arial" w:eastAsia="Times New Roman" w:hAnsi="Arial" w:cs="Arial"/>
                                <w:b/>
                                <w:color w:val="FFFFFF" w:themeColor="background1"/>
                                <w:sz w:val="25"/>
                                <w:szCs w:val="25"/>
                                <w:lang w:eastAsia="es-MX"/>
                              </w:rPr>
                              <w:t xml:space="preserve">En ella, se muestra el avance en el cumplimiento de los objetivos y metas programadas </w:t>
                            </w:r>
                            <w:r>
                              <w:rPr>
                                <w:rFonts w:ascii="Arial" w:eastAsia="Times New Roman" w:hAnsi="Arial" w:cs="Arial"/>
                                <w:b/>
                                <w:color w:val="FFFFFF" w:themeColor="background1"/>
                                <w:sz w:val="25"/>
                                <w:szCs w:val="25"/>
                                <w:lang w:eastAsia="es-MX"/>
                              </w:rPr>
                              <w:t>con el Recurso Federal,</w:t>
                            </w:r>
                            <w:r w:rsidRPr="00380081">
                              <w:rPr>
                                <w:rFonts w:ascii="Arial" w:eastAsia="Times New Roman" w:hAnsi="Arial" w:cs="Arial"/>
                                <w:b/>
                                <w:color w:val="FFFFFF" w:themeColor="background1"/>
                                <w:sz w:val="25"/>
                                <w:szCs w:val="25"/>
                                <w:lang w:eastAsia="es-MX"/>
                              </w:rPr>
                              <w:t xml:space="preserve"> mediante el análisis de indicadores de resultados, de servicios y de gestión, así como de la información entregada por las unidades responsables de los programas y aquella que se encuentra disponible en los portales correspondientes.</w:t>
                            </w:r>
                          </w:p>
                          <w:p w:rsidR="00E0113E" w:rsidRPr="00380081" w:rsidRDefault="00E0113E" w:rsidP="00445CB0">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Su objetivo radica en la necesidad de generar información útil, rigurosa y homogénea para los servidores públicos de las dependencias, unidades de evaluación y gobierno federal como una herramienta para el proceso de toma de decisiones a nivel gerencial.</w:t>
                            </w:r>
                          </w:p>
                          <w:p w:rsidR="00E0113E" w:rsidRPr="00380081" w:rsidRDefault="00E0113E" w:rsidP="00445CB0">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 xml:space="preserve">Se presentan </w:t>
                            </w:r>
                            <w:r w:rsidRPr="00102FF3">
                              <w:rPr>
                                <w:rFonts w:ascii="Arial" w:eastAsia="Times New Roman" w:hAnsi="Arial" w:cs="Arial"/>
                                <w:b/>
                                <w:color w:val="FFFFFF" w:themeColor="background1"/>
                                <w:sz w:val="25"/>
                                <w:szCs w:val="25"/>
                                <w:lang w:eastAsia="es-MX"/>
                              </w:rPr>
                              <w:t>mediante un informe ejecutivo</w:t>
                            </w:r>
                            <w:r w:rsidRPr="00380081">
                              <w:rPr>
                                <w:rFonts w:ascii="Arial" w:eastAsia="Times New Roman" w:hAnsi="Arial" w:cs="Arial"/>
                                <w:b/>
                                <w:color w:val="FFFFFF" w:themeColor="background1"/>
                                <w:sz w:val="25"/>
                                <w:szCs w:val="25"/>
                                <w:lang w:eastAsia="es-MX"/>
                              </w:rPr>
                              <w:t xml:space="preserve">, los </w:t>
                            </w:r>
                            <w:r w:rsidRPr="00102FF3">
                              <w:rPr>
                                <w:rFonts w:ascii="Arial" w:eastAsia="Times New Roman" w:hAnsi="Arial" w:cs="Arial"/>
                                <w:b/>
                                <w:color w:val="FFFFFF" w:themeColor="background1"/>
                                <w:sz w:val="25"/>
                                <w:szCs w:val="25"/>
                                <w:lang w:eastAsia="es-MX"/>
                              </w:rPr>
                              <w:t>Resultados</w:t>
                            </w:r>
                            <w:r w:rsidRPr="00380081">
                              <w:rPr>
                                <w:rFonts w:ascii="Arial" w:eastAsia="Times New Roman" w:hAnsi="Arial" w:cs="Arial"/>
                                <w:b/>
                                <w:color w:val="FFFFFF" w:themeColor="background1"/>
                                <w:sz w:val="25"/>
                                <w:szCs w:val="25"/>
                                <w:lang w:eastAsia="es-MX"/>
                              </w:rPr>
                              <w:t xml:space="preserve"> respecto al a</w:t>
                            </w:r>
                            <w:r w:rsidRPr="00102FF3">
                              <w:rPr>
                                <w:rFonts w:ascii="Arial" w:eastAsia="Times New Roman" w:hAnsi="Arial" w:cs="Arial"/>
                                <w:b/>
                                <w:color w:val="FFFFFF" w:themeColor="background1"/>
                                <w:sz w:val="25"/>
                                <w:szCs w:val="25"/>
                                <w:lang w:eastAsia="es-MX"/>
                              </w:rPr>
                              <w:t>vance en la atención del problema o necesidad para el que fue creado el programa</w:t>
                            </w:r>
                            <w:r w:rsidRPr="00380081">
                              <w:rPr>
                                <w:rFonts w:ascii="Arial" w:eastAsia="Times New Roman" w:hAnsi="Arial" w:cs="Arial"/>
                                <w:b/>
                                <w:color w:val="FFFFFF" w:themeColor="background1"/>
                                <w:sz w:val="25"/>
                                <w:szCs w:val="25"/>
                                <w:lang w:eastAsia="es-MX"/>
                              </w:rPr>
                              <w:t xml:space="preserve">; los </w:t>
                            </w:r>
                            <w:r>
                              <w:rPr>
                                <w:rFonts w:ascii="Arial" w:eastAsia="Times New Roman" w:hAnsi="Arial" w:cs="Arial"/>
                                <w:b/>
                                <w:color w:val="FFFFFF" w:themeColor="background1"/>
                                <w:sz w:val="25"/>
                                <w:szCs w:val="25"/>
                                <w:lang w:eastAsia="es-MX"/>
                              </w:rPr>
                              <w:t>p</w:t>
                            </w:r>
                            <w:r w:rsidRPr="00102FF3">
                              <w:rPr>
                                <w:rFonts w:ascii="Arial" w:eastAsia="Times New Roman" w:hAnsi="Arial" w:cs="Arial"/>
                                <w:b/>
                                <w:color w:val="FFFFFF" w:themeColor="background1"/>
                                <w:sz w:val="25"/>
                                <w:szCs w:val="25"/>
                                <w:lang w:eastAsia="es-MX"/>
                              </w:rPr>
                              <w:t>roductos</w:t>
                            </w:r>
                            <w:r w:rsidRPr="00380081">
                              <w:rPr>
                                <w:rFonts w:ascii="Arial" w:eastAsia="Times New Roman" w:hAnsi="Arial" w:cs="Arial"/>
                                <w:b/>
                                <w:color w:val="FFFFFF" w:themeColor="background1"/>
                                <w:sz w:val="25"/>
                                <w:szCs w:val="25"/>
                                <w:lang w:eastAsia="es-MX"/>
                              </w:rPr>
                              <w:t xml:space="preserve"> o</w:t>
                            </w:r>
                            <w:r w:rsidRPr="00102FF3">
                              <w:rPr>
                                <w:rFonts w:ascii="Arial" w:eastAsia="Times New Roman" w:hAnsi="Arial" w:cs="Arial"/>
                                <w:b/>
                                <w:color w:val="FFFFFF" w:themeColor="background1"/>
                                <w:sz w:val="25"/>
                                <w:szCs w:val="25"/>
                                <w:lang w:eastAsia="es-MX"/>
                              </w:rPr>
                              <w:t xml:space="preserve"> entrega de bienes y servicios a la población beneficiaria</w:t>
                            </w:r>
                            <w:r>
                              <w:rPr>
                                <w:rFonts w:ascii="Arial" w:eastAsia="Times New Roman" w:hAnsi="Arial" w:cs="Arial"/>
                                <w:b/>
                                <w:color w:val="FFFFFF" w:themeColor="background1"/>
                                <w:sz w:val="25"/>
                                <w:szCs w:val="25"/>
                                <w:lang w:eastAsia="es-MX"/>
                              </w:rPr>
                              <w:t xml:space="preserve">; </w:t>
                            </w:r>
                            <w:r w:rsidRPr="00102FF3">
                              <w:rPr>
                                <w:rFonts w:ascii="Arial" w:eastAsia="Times New Roman" w:hAnsi="Arial" w:cs="Arial"/>
                                <w:b/>
                                <w:color w:val="FFFFFF" w:themeColor="background1"/>
                                <w:sz w:val="25"/>
                                <w:szCs w:val="25"/>
                                <w:lang w:eastAsia="es-MX"/>
                              </w:rPr>
                              <w:t xml:space="preserve">el ejercicio </w:t>
                            </w:r>
                            <w:r>
                              <w:rPr>
                                <w:rFonts w:ascii="Arial" w:eastAsia="Times New Roman" w:hAnsi="Arial" w:cs="Arial"/>
                                <w:b/>
                                <w:color w:val="FFFFFF" w:themeColor="background1"/>
                                <w:sz w:val="25"/>
                                <w:szCs w:val="25"/>
                                <w:lang w:eastAsia="es-MX"/>
                              </w:rPr>
                              <w:t>d</w:t>
                            </w:r>
                            <w:r w:rsidRPr="00102FF3">
                              <w:rPr>
                                <w:rFonts w:ascii="Arial" w:eastAsia="Times New Roman" w:hAnsi="Arial" w:cs="Arial"/>
                                <w:b/>
                                <w:color w:val="FFFFFF" w:themeColor="background1"/>
                                <w:sz w:val="25"/>
                                <w:szCs w:val="25"/>
                                <w:lang w:eastAsia="es-MX"/>
                              </w:rPr>
                              <w:t>el presupuesto</w:t>
                            </w:r>
                            <w:r w:rsidRPr="00380081">
                              <w:rPr>
                                <w:rFonts w:ascii="Arial" w:eastAsia="Times New Roman" w:hAnsi="Arial" w:cs="Arial"/>
                                <w:b/>
                                <w:color w:val="FFFFFF" w:themeColor="background1"/>
                                <w:sz w:val="25"/>
                                <w:szCs w:val="25"/>
                                <w:lang w:eastAsia="es-MX"/>
                              </w:rPr>
                              <w:t xml:space="preserve">; la </w:t>
                            </w:r>
                            <w:r>
                              <w:rPr>
                                <w:rFonts w:ascii="Arial" w:eastAsia="Times New Roman" w:hAnsi="Arial" w:cs="Arial"/>
                                <w:b/>
                                <w:color w:val="FFFFFF" w:themeColor="background1"/>
                                <w:sz w:val="25"/>
                                <w:szCs w:val="25"/>
                                <w:lang w:eastAsia="es-MX"/>
                              </w:rPr>
                              <w:t>d</w:t>
                            </w:r>
                            <w:r w:rsidRPr="00102FF3">
                              <w:rPr>
                                <w:rFonts w:ascii="Arial" w:eastAsia="Times New Roman" w:hAnsi="Arial" w:cs="Arial"/>
                                <w:b/>
                                <w:color w:val="FFFFFF" w:themeColor="background1"/>
                                <w:sz w:val="25"/>
                                <w:szCs w:val="25"/>
                                <w:lang w:eastAsia="es-MX"/>
                              </w:rPr>
                              <w:t xml:space="preserve">efinición y cuantificación de la </w:t>
                            </w:r>
                            <w:r>
                              <w:rPr>
                                <w:rFonts w:ascii="Arial" w:eastAsia="Times New Roman" w:hAnsi="Arial" w:cs="Arial"/>
                                <w:b/>
                                <w:color w:val="FFFFFF" w:themeColor="background1"/>
                                <w:sz w:val="25"/>
                                <w:szCs w:val="25"/>
                                <w:lang w:eastAsia="es-MX"/>
                              </w:rPr>
                              <w:t>p</w:t>
                            </w:r>
                            <w:r w:rsidRPr="00102FF3">
                              <w:rPr>
                                <w:rFonts w:ascii="Arial" w:eastAsia="Times New Roman" w:hAnsi="Arial" w:cs="Arial"/>
                                <w:b/>
                                <w:color w:val="FFFFFF" w:themeColor="background1"/>
                                <w:sz w:val="25"/>
                                <w:szCs w:val="25"/>
                                <w:lang w:eastAsia="es-MX"/>
                              </w:rPr>
                              <w:t>oblación Potencial, Objetivo y Atendida</w:t>
                            </w:r>
                            <w:r w:rsidRPr="00380081">
                              <w:rPr>
                                <w:rFonts w:ascii="Arial" w:eastAsia="Times New Roman" w:hAnsi="Arial" w:cs="Arial"/>
                                <w:b/>
                                <w:color w:val="FFFFFF" w:themeColor="background1"/>
                                <w:sz w:val="25"/>
                                <w:szCs w:val="25"/>
                                <w:lang w:eastAsia="es-MX"/>
                              </w:rPr>
                              <w:t>;</w:t>
                            </w:r>
                            <w:r w:rsidRPr="00102FF3">
                              <w:rPr>
                                <w:rFonts w:ascii="Arial" w:eastAsia="Times New Roman" w:hAnsi="Arial" w:cs="Arial"/>
                                <w:b/>
                                <w:color w:val="FFFFFF" w:themeColor="background1"/>
                                <w:sz w:val="25"/>
                                <w:szCs w:val="25"/>
                                <w:lang w:eastAsia="es-MX"/>
                              </w:rPr>
                              <w:t xml:space="preserve"> así </w:t>
                            </w:r>
                            <w:r w:rsidRPr="00380081">
                              <w:rPr>
                                <w:rFonts w:ascii="Arial" w:eastAsia="Times New Roman" w:hAnsi="Arial" w:cs="Arial"/>
                                <w:b/>
                                <w:color w:val="FFFFFF" w:themeColor="background1"/>
                                <w:sz w:val="25"/>
                                <w:szCs w:val="25"/>
                                <w:lang w:eastAsia="es-MX"/>
                              </w:rPr>
                              <w:t>mismo</w:t>
                            </w:r>
                            <w:r w:rsidRPr="00102FF3">
                              <w:rPr>
                                <w:rFonts w:ascii="Arial" w:eastAsia="Times New Roman" w:hAnsi="Arial" w:cs="Arial"/>
                                <w:b/>
                                <w:color w:val="FFFFFF" w:themeColor="background1"/>
                                <w:sz w:val="25"/>
                                <w:szCs w:val="25"/>
                                <w:lang w:eastAsia="es-MX"/>
                              </w:rPr>
                              <w:t xml:space="preserve"> la localización geográfica de la Población Atendida</w:t>
                            </w:r>
                            <w:r w:rsidRPr="00380081">
                              <w:rPr>
                                <w:rFonts w:ascii="Arial" w:eastAsia="Times New Roman" w:hAnsi="Arial" w:cs="Arial"/>
                                <w:b/>
                                <w:color w:val="FFFFFF" w:themeColor="background1"/>
                                <w:sz w:val="25"/>
                                <w:szCs w:val="25"/>
                                <w:lang w:eastAsia="es-MX"/>
                              </w:rPr>
                              <w:t xml:space="preserve"> y; el  </w:t>
                            </w:r>
                            <w:r w:rsidRPr="00102FF3">
                              <w:rPr>
                                <w:rFonts w:ascii="Arial" w:eastAsia="Times New Roman" w:hAnsi="Arial" w:cs="Arial"/>
                                <w:b/>
                                <w:color w:val="FFFFFF" w:themeColor="background1"/>
                                <w:sz w:val="25"/>
                                <w:szCs w:val="25"/>
                                <w:lang w:eastAsia="es-MX"/>
                              </w:rPr>
                              <w:t>Seguimiento de aspectos susceptibles de mejora</w:t>
                            </w:r>
                            <w:r w:rsidRPr="00380081">
                              <w:rPr>
                                <w:rFonts w:ascii="Arial" w:eastAsia="Times New Roman" w:hAnsi="Arial" w:cs="Arial"/>
                                <w:b/>
                                <w:color w:val="FFFFFF" w:themeColor="background1"/>
                                <w:sz w:val="25"/>
                                <w:szCs w:val="25"/>
                                <w:lang w:eastAsia="es-MX"/>
                              </w:rPr>
                              <w:t xml:space="preserve"> respecto a</w:t>
                            </w:r>
                            <w:r w:rsidRPr="00102FF3">
                              <w:rPr>
                                <w:rFonts w:ascii="Arial" w:eastAsia="Times New Roman" w:hAnsi="Arial" w:cs="Arial"/>
                                <w:b/>
                                <w:color w:val="FFFFFF" w:themeColor="background1"/>
                                <w:sz w:val="25"/>
                                <w:szCs w:val="25"/>
                                <w:lang w:eastAsia="es-MX"/>
                              </w:rPr>
                              <w:t xml:space="preserve"> los compromisos de mejora que definen los programas a partir de las evaluaciones</w:t>
                            </w:r>
                            <w:r>
                              <w:rPr>
                                <w:rFonts w:ascii="Arial" w:eastAsia="Times New Roman" w:hAnsi="Arial" w:cs="Arial"/>
                                <w:b/>
                                <w:color w:val="FFFFFF" w:themeColor="background1"/>
                                <w:sz w:val="25"/>
                                <w:szCs w:val="25"/>
                                <w:lang w:eastAsia="es-MX"/>
                              </w:rPr>
                              <w:t xml:space="preserve"> de ejercicios </w:t>
                            </w:r>
                            <w:r w:rsidRPr="00380081">
                              <w:rPr>
                                <w:rFonts w:ascii="Arial" w:eastAsia="Times New Roman" w:hAnsi="Arial" w:cs="Arial"/>
                                <w:b/>
                                <w:color w:val="FFFFFF" w:themeColor="background1"/>
                                <w:sz w:val="25"/>
                                <w:szCs w:val="25"/>
                                <w:lang w:eastAsia="es-MX"/>
                              </w:rPr>
                              <w:t>anteriores</w:t>
                            </w:r>
                            <w:r>
                              <w:rPr>
                                <w:rFonts w:ascii="Arial" w:eastAsia="Times New Roman" w:hAnsi="Arial" w:cs="Arial"/>
                                <w:b/>
                                <w:color w:val="FFFFFF" w:themeColor="background1"/>
                                <w:sz w:val="25"/>
                                <w:szCs w:val="25"/>
                                <w:lang w:eastAsia="es-MX"/>
                              </w:rPr>
                              <w:t>.</w:t>
                            </w:r>
                          </w:p>
                          <w:p w:rsidR="00E0113E" w:rsidRPr="009335AE" w:rsidRDefault="00E0113E" w:rsidP="00445CB0">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998B14" id="14 Rectángulo redondeado" o:spid="_x0000_s1028" style="position:absolute;margin-left:-3.7pt;margin-top:11.55pt;width:466.5pt;height:51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WxswIAANMFAAAOAAAAZHJzL2Uyb0RvYy54bWysVM1u2zAMvg/YOwi6r46DpD9BnSJo0WFA&#10;1xZth54VSU4MyKImyYmzt9mz7MVGyo6bdcUGDMvBEUXyI/mJ5PlFWxu20T5UYAueH40401aCquyq&#10;4F+erj+cchaisEoYsLrgOx34xfz9u/Otm+kxrMEo7RmC2DDbuoKvY3SzLAtyrWsRjsBpi8oSfC0i&#10;in6VKS+2iF6bbDwaHWdb8Mp5kDoEvL3qlHye8MtSy3hXlkFHZgqOucX09em7pG82PxezlRduXck+&#10;DfEPWdSishh0gLoSUbDGV79B1ZX0EKCMRxLqDMqykjrVgNXko1fVPK6F06kWJCe4gabw/2Dl7ebe&#10;s0rh2004s6LGN8on7AGJ+/HdrhoDzGsFVmmhgNjaujBDp0d373sp4JFKb0tf0z8WxdrE8G5gWLeR&#10;Sbycno0n0yk+hETd8TQ/HZ9MCTV7cXc+xI8aakaHgntorKJ0Er1icxNiZ7+3o5ABTKWuK2OSQL2j&#10;L41nG4GvLqTUNo6Tu2nqz6C6++kIf33s1G7kkjL5Bc1YwrRA6F1gusmIhq7wdIo7o8nO2AddIp1Y&#10;ahdxQD5MJk/JhLVQ+m+5JEBCLjH+gN0DvFVo3pfU25OrTnMwOI+66H9yHjxSZLBxcK4rC/4tABOH&#10;yJ39nqSOGmIptss2tdqYcqSbJagdtp+Hbi6Dk9cVvvqNCPFeeBxE7BRcLvEOP6WBbcGhP3G2Bv/t&#10;rXuyx/lALWdbHOyCh6+N8Joz88ni5JzlkwltgiRMpidjFPyhZnmosU19CdhFOa4xJ9OR7KPZH0sP&#10;9TPuoAVFRZWwEmMXXEa/Fy5jt3Bwi0m9WCQznH4n4o19dJLAiWdq6Kf2WXjXt37EqbmF/RIQs1fN&#10;39mSp4VFE6Gs0mS88Nq/AG6O1Nb9lqPVdCgnq5ddPP8JAAD//wMAUEsDBBQABgAIAAAAIQDEJrZT&#10;4QAAAAoBAAAPAAAAZHJzL2Rvd25yZXYueG1sTI9NT4NAEIbvJv6HzZh4a5dSpBZZGmNijCcrYlJv&#10;UxgB3Q/Cblv67x1Pepy8T973mXwzGS2ONPreWQWLeQSCbO2a3rYKqrfH2S0IH9A2qJ0lBWfysCku&#10;L3LMGneyr3QsQyu4xPoMFXQhDJmUvu7IoJ+7gSxnn240GPgcW9mMeOJyo2UcRak02Fte6HCgh47q&#10;7/JgFOxq//FUtfrrGVcv2/flrkx0dVbq+mq6vwMRaAp/MPzqszoU7LR3B9t4oRXMVgmTCuLlAgTn&#10;6/gmBbFnMErWKcgil/9fKH4AAAD//wMAUEsBAi0AFAAGAAgAAAAhALaDOJL+AAAA4QEAABMAAAAA&#10;AAAAAAAAAAAAAAAAAFtDb250ZW50X1R5cGVzXS54bWxQSwECLQAUAAYACAAAACEAOP0h/9YAAACU&#10;AQAACwAAAAAAAAAAAAAAAAAvAQAAX3JlbHMvLnJlbHNQSwECLQAUAAYACAAAACEA0Qj1sbMCAADT&#10;BQAADgAAAAAAAAAAAAAAAAAuAgAAZHJzL2Uyb0RvYy54bWxQSwECLQAUAAYACAAAACEAxCa2U+EA&#10;AAAKAQAADwAAAAAAAAAAAAAAAAANBQAAZHJzL2Rvd25yZXYueG1sUEsFBgAAAAAEAAQA8wAAABsG&#10;AAAAAA==&#10;" fillcolor="#622423 [1605]" stroked="f" strokeweight="2pt">
                <v:textbox>
                  <w:txbxContent>
                    <w:p w:rsidR="00E0113E" w:rsidRDefault="00E0113E" w:rsidP="00BC34A6">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 xml:space="preserve">La presente Evaluación Específica de Desempeño corresponde a una valoración sintética del desempeño </w:t>
                      </w:r>
                      <w:r>
                        <w:rPr>
                          <w:rFonts w:ascii="Arial" w:eastAsia="Times New Roman" w:hAnsi="Arial" w:cs="Arial"/>
                          <w:b/>
                          <w:color w:val="FFFFFF" w:themeColor="background1"/>
                          <w:sz w:val="25"/>
                          <w:szCs w:val="25"/>
                          <w:lang w:eastAsia="es-MX"/>
                        </w:rPr>
                        <w:t>de</w:t>
                      </w:r>
                      <w:r w:rsidRPr="00BC34A6">
                        <w:rPr>
                          <w:rFonts w:ascii="Arial" w:eastAsia="Times New Roman" w:hAnsi="Arial" w:cs="Arial"/>
                          <w:b/>
                          <w:color w:val="FFFFFF" w:themeColor="background1"/>
                          <w:sz w:val="25"/>
                          <w:szCs w:val="25"/>
                          <w:lang w:eastAsia="es-MX"/>
                        </w:rPr>
                        <w:t xml:space="preserve">l gasto federalizado </w:t>
                      </w:r>
                      <w:r>
                        <w:rPr>
                          <w:rFonts w:ascii="Arial" w:eastAsia="Times New Roman" w:hAnsi="Arial" w:cs="Arial"/>
                          <w:b/>
                          <w:color w:val="FFFFFF" w:themeColor="background1"/>
                          <w:sz w:val="25"/>
                          <w:szCs w:val="25"/>
                          <w:lang w:eastAsia="es-MX"/>
                        </w:rPr>
                        <w:t>transfer</w:t>
                      </w:r>
                      <w:r w:rsidRPr="00BC34A6">
                        <w:rPr>
                          <w:rFonts w:ascii="Arial" w:eastAsia="Times New Roman" w:hAnsi="Arial" w:cs="Arial"/>
                          <w:b/>
                          <w:color w:val="FFFFFF" w:themeColor="background1"/>
                          <w:sz w:val="25"/>
                          <w:szCs w:val="25"/>
                          <w:lang w:eastAsia="es-MX"/>
                        </w:rPr>
                        <w:t>i</w:t>
                      </w:r>
                      <w:r>
                        <w:rPr>
                          <w:rFonts w:ascii="Arial" w:eastAsia="Times New Roman" w:hAnsi="Arial" w:cs="Arial"/>
                          <w:b/>
                          <w:color w:val="FFFFFF" w:themeColor="background1"/>
                          <w:sz w:val="25"/>
                          <w:szCs w:val="25"/>
                          <w:lang w:eastAsia="es-MX"/>
                        </w:rPr>
                        <w:t>do</w:t>
                      </w:r>
                      <w:r w:rsidRPr="00BC34A6">
                        <w:rPr>
                          <w:rFonts w:ascii="Arial" w:eastAsia="Times New Roman" w:hAnsi="Arial" w:cs="Arial"/>
                          <w:b/>
                          <w:color w:val="FFFFFF" w:themeColor="background1"/>
                          <w:sz w:val="25"/>
                          <w:szCs w:val="25"/>
                          <w:lang w:eastAsia="es-MX"/>
                        </w:rPr>
                        <w:t xml:space="preserve"> </w:t>
                      </w:r>
                      <w:r>
                        <w:rPr>
                          <w:rFonts w:ascii="Arial" w:eastAsia="Times New Roman" w:hAnsi="Arial" w:cs="Arial"/>
                          <w:b/>
                          <w:color w:val="FFFFFF" w:themeColor="background1"/>
                          <w:sz w:val="25"/>
                          <w:szCs w:val="25"/>
                          <w:lang w:eastAsia="es-MX"/>
                        </w:rPr>
                        <w:t>por la Federación a</w:t>
                      </w:r>
                      <w:r w:rsidRPr="00BC34A6">
                        <w:rPr>
                          <w:rFonts w:ascii="Arial" w:eastAsia="Times New Roman" w:hAnsi="Arial" w:cs="Arial"/>
                          <w:b/>
                          <w:color w:val="FFFFFF" w:themeColor="background1"/>
                          <w:sz w:val="25"/>
                          <w:szCs w:val="25"/>
                          <w:lang w:eastAsia="es-MX"/>
                        </w:rPr>
                        <w:t xml:space="preserve">l </w:t>
                      </w:r>
                      <w:r>
                        <w:rPr>
                          <w:rFonts w:ascii="Arial" w:eastAsia="Times New Roman" w:hAnsi="Arial" w:cs="Arial"/>
                          <w:b/>
                          <w:color w:val="FFFFFF" w:themeColor="background1"/>
                          <w:sz w:val="25"/>
                          <w:szCs w:val="25"/>
                          <w:lang w:eastAsia="es-MX"/>
                        </w:rPr>
                        <w:t>G</w:t>
                      </w:r>
                      <w:r w:rsidRPr="00BC34A6">
                        <w:rPr>
                          <w:rFonts w:ascii="Arial" w:eastAsia="Times New Roman" w:hAnsi="Arial" w:cs="Arial"/>
                          <w:b/>
                          <w:color w:val="FFFFFF" w:themeColor="background1"/>
                          <w:sz w:val="25"/>
                          <w:szCs w:val="25"/>
                          <w:lang w:eastAsia="es-MX"/>
                        </w:rPr>
                        <w:t xml:space="preserve">obiernos </w:t>
                      </w:r>
                      <w:r>
                        <w:rPr>
                          <w:rFonts w:ascii="Arial" w:eastAsia="Times New Roman" w:hAnsi="Arial" w:cs="Arial"/>
                          <w:b/>
                          <w:color w:val="FFFFFF" w:themeColor="background1"/>
                          <w:sz w:val="25"/>
                          <w:szCs w:val="25"/>
                          <w:lang w:eastAsia="es-MX"/>
                        </w:rPr>
                        <w:t>de Baja California</w:t>
                      </w:r>
                      <w:r w:rsidRPr="00BC34A6">
                        <w:rPr>
                          <w:rFonts w:ascii="Arial" w:eastAsia="Times New Roman" w:hAnsi="Arial" w:cs="Arial"/>
                          <w:b/>
                          <w:color w:val="FFFFFF" w:themeColor="background1"/>
                          <w:sz w:val="25"/>
                          <w:szCs w:val="25"/>
                          <w:lang w:eastAsia="es-MX"/>
                        </w:rPr>
                        <w:t xml:space="preserve">, </w:t>
                      </w:r>
                      <w:r>
                        <w:rPr>
                          <w:rFonts w:ascii="Arial" w:eastAsia="Times New Roman" w:hAnsi="Arial" w:cs="Arial"/>
                          <w:b/>
                          <w:color w:val="FFFFFF" w:themeColor="background1"/>
                          <w:sz w:val="25"/>
                          <w:szCs w:val="25"/>
                          <w:lang w:eastAsia="es-MX"/>
                        </w:rPr>
                        <w:t>que rep</w:t>
                      </w:r>
                      <w:r w:rsidRPr="00BC34A6">
                        <w:rPr>
                          <w:rFonts w:ascii="Arial" w:eastAsia="Times New Roman" w:hAnsi="Arial" w:cs="Arial"/>
                          <w:b/>
                          <w:color w:val="FFFFFF" w:themeColor="background1"/>
                          <w:sz w:val="25"/>
                          <w:szCs w:val="25"/>
                          <w:lang w:eastAsia="es-MX"/>
                        </w:rPr>
                        <w:t xml:space="preserve">resenta </w:t>
                      </w:r>
                      <w:r>
                        <w:rPr>
                          <w:rFonts w:ascii="Arial" w:eastAsia="Times New Roman" w:hAnsi="Arial" w:cs="Arial"/>
                          <w:b/>
                          <w:color w:val="FFFFFF" w:themeColor="background1"/>
                          <w:sz w:val="25"/>
                          <w:szCs w:val="25"/>
                          <w:lang w:eastAsia="es-MX"/>
                        </w:rPr>
                        <w:t>una de sus</w:t>
                      </w:r>
                      <w:r w:rsidRPr="00BC34A6">
                        <w:rPr>
                          <w:rFonts w:ascii="Arial" w:eastAsia="Times New Roman" w:hAnsi="Arial" w:cs="Arial"/>
                          <w:b/>
                          <w:color w:val="FFFFFF" w:themeColor="background1"/>
                          <w:sz w:val="25"/>
                          <w:szCs w:val="25"/>
                          <w:lang w:eastAsia="es-MX"/>
                        </w:rPr>
                        <w:t xml:space="preserve"> fuente</w:t>
                      </w:r>
                      <w:r>
                        <w:rPr>
                          <w:rFonts w:ascii="Arial" w:eastAsia="Times New Roman" w:hAnsi="Arial" w:cs="Arial"/>
                          <w:b/>
                          <w:color w:val="FFFFFF" w:themeColor="background1"/>
                          <w:sz w:val="25"/>
                          <w:szCs w:val="25"/>
                          <w:lang w:eastAsia="es-MX"/>
                        </w:rPr>
                        <w:t>s</w:t>
                      </w:r>
                      <w:r w:rsidRPr="00BC34A6">
                        <w:rPr>
                          <w:rFonts w:ascii="Arial" w:eastAsia="Times New Roman" w:hAnsi="Arial" w:cs="Arial"/>
                          <w:b/>
                          <w:color w:val="FFFFFF" w:themeColor="background1"/>
                          <w:sz w:val="25"/>
                          <w:szCs w:val="25"/>
                          <w:lang w:eastAsia="es-MX"/>
                        </w:rPr>
                        <w:t xml:space="preserve"> de financiamiento para el cumplimiento de sus obligaciones de gasto </w:t>
                      </w:r>
                      <w:r>
                        <w:rPr>
                          <w:rFonts w:ascii="Arial" w:eastAsia="Times New Roman" w:hAnsi="Arial" w:cs="Arial"/>
                          <w:b/>
                          <w:color w:val="FFFFFF" w:themeColor="background1"/>
                          <w:sz w:val="25"/>
                          <w:szCs w:val="25"/>
                          <w:lang w:eastAsia="es-MX"/>
                        </w:rPr>
                        <w:t>correspondiente a</w:t>
                      </w:r>
                      <w:r w:rsidRPr="00BC34A6">
                        <w:rPr>
                          <w:rFonts w:ascii="Arial" w:eastAsia="Times New Roman" w:hAnsi="Arial" w:cs="Arial"/>
                          <w:b/>
                          <w:color w:val="FFFFFF" w:themeColor="background1"/>
                          <w:sz w:val="25"/>
                          <w:szCs w:val="25"/>
                          <w:lang w:eastAsia="es-MX"/>
                        </w:rPr>
                        <w:t>l</w:t>
                      </w:r>
                      <w:r>
                        <w:rPr>
                          <w:rFonts w:ascii="Arial" w:eastAsia="Times New Roman" w:hAnsi="Arial" w:cs="Arial"/>
                          <w:b/>
                          <w:color w:val="FFFFFF" w:themeColor="background1"/>
                          <w:sz w:val="25"/>
                          <w:szCs w:val="25"/>
                          <w:lang w:eastAsia="es-MX"/>
                        </w:rPr>
                        <w:t xml:space="preserve"> </w:t>
                      </w:r>
                      <w:r w:rsidRPr="00BC34A6">
                        <w:rPr>
                          <w:rFonts w:ascii="Arial" w:eastAsia="Times New Roman" w:hAnsi="Arial" w:cs="Arial"/>
                          <w:b/>
                          <w:color w:val="FFFFFF" w:themeColor="background1"/>
                          <w:sz w:val="25"/>
                          <w:szCs w:val="25"/>
                          <w:lang w:eastAsia="es-MX"/>
                        </w:rPr>
                        <w:t>Ramo 28 Participaciones de los estados, municipios y Distrito Federal en ingresos federales</w:t>
                      </w:r>
                      <w:r>
                        <w:rPr>
                          <w:rFonts w:ascii="Arial" w:eastAsia="Times New Roman" w:hAnsi="Arial" w:cs="Arial"/>
                          <w:b/>
                          <w:color w:val="FFFFFF" w:themeColor="background1"/>
                          <w:sz w:val="25"/>
                          <w:szCs w:val="25"/>
                          <w:lang w:eastAsia="es-MX"/>
                        </w:rPr>
                        <w:t xml:space="preserve">, </w:t>
                      </w:r>
                      <w:r w:rsidRPr="00BC34A6">
                        <w:rPr>
                          <w:rFonts w:ascii="Arial" w:eastAsia="Times New Roman" w:hAnsi="Arial" w:cs="Arial"/>
                          <w:b/>
                          <w:color w:val="FFFFFF" w:themeColor="background1"/>
                          <w:sz w:val="25"/>
                          <w:szCs w:val="25"/>
                          <w:lang w:eastAsia="es-MX"/>
                        </w:rPr>
                        <w:t>(Participaciones Federales)</w:t>
                      </w:r>
                      <w:r w:rsidRPr="00380081">
                        <w:rPr>
                          <w:rFonts w:ascii="Arial" w:eastAsia="Times New Roman" w:hAnsi="Arial" w:cs="Arial"/>
                          <w:b/>
                          <w:color w:val="FFFFFF" w:themeColor="background1"/>
                          <w:sz w:val="25"/>
                          <w:szCs w:val="25"/>
                          <w:lang w:eastAsia="es-MX"/>
                        </w:rPr>
                        <w:t>.</w:t>
                      </w:r>
                    </w:p>
                    <w:p w:rsidR="00E0113E" w:rsidRPr="00380081" w:rsidRDefault="00E0113E" w:rsidP="00BC34A6">
                      <w:pPr>
                        <w:spacing w:before="240" w:after="240" w:line="240" w:lineRule="auto"/>
                        <w:jc w:val="both"/>
                        <w:rPr>
                          <w:b/>
                          <w:color w:val="FFFFFF" w:themeColor="background1"/>
                          <w:sz w:val="25"/>
                          <w:szCs w:val="25"/>
                        </w:rPr>
                      </w:pPr>
                      <w:r w:rsidRPr="00380081">
                        <w:rPr>
                          <w:rFonts w:ascii="Arial" w:eastAsia="Times New Roman" w:hAnsi="Arial" w:cs="Arial"/>
                          <w:b/>
                          <w:color w:val="FFFFFF" w:themeColor="background1"/>
                          <w:sz w:val="25"/>
                          <w:szCs w:val="25"/>
                          <w:lang w:eastAsia="es-MX"/>
                        </w:rPr>
                        <w:t xml:space="preserve">En ella, se muestra el avance en el cumplimiento de los objetivos y metas programadas </w:t>
                      </w:r>
                      <w:r>
                        <w:rPr>
                          <w:rFonts w:ascii="Arial" w:eastAsia="Times New Roman" w:hAnsi="Arial" w:cs="Arial"/>
                          <w:b/>
                          <w:color w:val="FFFFFF" w:themeColor="background1"/>
                          <w:sz w:val="25"/>
                          <w:szCs w:val="25"/>
                          <w:lang w:eastAsia="es-MX"/>
                        </w:rPr>
                        <w:t>con el Recurso Federal,</w:t>
                      </w:r>
                      <w:r w:rsidRPr="00380081">
                        <w:rPr>
                          <w:rFonts w:ascii="Arial" w:eastAsia="Times New Roman" w:hAnsi="Arial" w:cs="Arial"/>
                          <w:b/>
                          <w:color w:val="FFFFFF" w:themeColor="background1"/>
                          <w:sz w:val="25"/>
                          <w:szCs w:val="25"/>
                          <w:lang w:eastAsia="es-MX"/>
                        </w:rPr>
                        <w:t xml:space="preserve"> mediante el análisis de indicadores de resultados, de servicios y de gestión, así como de la información entregada por las unidades responsables de los programas y aquella que se encuentra disponible en los portales correspondientes.</w:t>
                      </w:r>
                    </w:p>
                    <w:p w:rsidR="00E0113E" w:rsidRPr="00380081" w:rsidRDefault="00E0113E" w:rsidP="00445CB0">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Su objetivo radica en la necesidad de generar información útil, rigurosa y homogénea para los servidores públicos de las dependencias, unidades de evaluación y gobierno federal como una herramienta para el proceso de toma de decisiones a nivel gerencial.</w:t>
                      </w:r>
                    </w:p>
                    <w:p w:rsidR="00E0113E" w:rsidRPr="00380081" w:rsidRDefault="00E0113E" w:rsidP="00445CB0">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 xml:space="preserve">Se presentan </w:t>
                      </w:r>
                      <w:r w:rsidRPr="00102FF3">
                        <w:rPr>
                          <w:rFonts w:ascii="Arial" w:eastAsia="Times New Roman" w:hAnsi="Arial" w:cs="Arial"/>
                          <w:b/>
                          <w:color w:val="FFFFFF" w:themeColor="background1"/>
                          <w:sz w:val="25"/>
                          <w:szCs w:val="25"/>
                          <w:lang w:eastAsia="es-MX"/>
                        </w:rPr>
                        <w:t>mediante un informe ejecutivo</w:t>
                      </w:r>
                      <w:r w:rsidRPr="00380081">
                        <w:rPr>
                          <w:rFonts w:ascii="Arial" w:eastAsia="Times New Roman" w:hAnsi="Arial" w:cs="Arial"/>
                          <w:b/>
                          <w:color w:val="FFFFFF" w:themeColor="background1"/>
                          <w:sz w:val="25"/>
                          <w:szCs w:val="25"/>
                          <w:lang w:eastAsia="es-MX"/>
                        </w:rPr>
                        <w:t xml:space="preserve">, los </w:t>
                      </w:r>
                      <w:r w:rsidRPr="00102FF3">
                        <w:rPr>
                          <w:rFonts w:ascii="Arial" w:eastAsia="Times New Roman" w:hAnsi="Arial" w:cs="Arial"/>
                          <w:b/>
                          <w:color w:val="FFFFFF" w:themeColor="background1"/>
                          <w:sz w:val="25"/>
                          <w:szCs w:val="25"/>
                          <w:lang w:eastAsia="es-MX"/>
                        </w:rPr>
                        <w:t>Resultados</w:t>
                      </w:r>
                      <w:r w:rsidRPr="00380081">
                        <w:rPr>
                          <w:rFonts w:ascii="Arial" w:eastAsia="Times New Roman" w:hAnsi="Arial" w:cs="Arial"/>
                          <w:b/>
                          <w:color w:val="FFFFFF" w:themeColor="background1"/>
                          <w:sz w:val="25"/>
                          <w:szCs w:val="25"/>
                          <w:lang w:eastAsia="es-MX"/>
                        </w:rPr>
                        <w:t xml:space="preserve"> respecto al a</w:t>
                      </w:r>
                      <w:r w:rsidRPr="00102FF3">
                        <w:rPr>
                          <w:rFonts w:ascii="Arial" w:eastAsia="Times New Roman" w:hAnsi="Arial" w:cs="Arial"/>
                          <w:b/>
                          <w:color w:val="FFFFFF" w:themeColor="background1"/>
                          <w:sz w:val="25"/>
                          <w:szCs w:val="25"/>
                          <w:lang w:eastAsia="es-MX"/>
                        </w:rPr>
                        <w:t>vance en la atención del problema o necesidad para el que fue creado el programa</w:t>
                      </w:r>
                      <w:r w:rsidRPr="00380081">
                        <w:rPr>
                          <w:rFonts w:ascii="Arial" w:eastAsia="Times New Roman" w:hAnsi="Arial" w:cs="Arial"/>
                          <w:b/>
                          <w:color w:val="FFFFFF" w:themeColor="background1"/>
                          <w:sz w:val="25"/>
                          <w:szCs w:val="25"/>
                          <w:lang w:eastAsia="es-MX"/>
                        </w:rPr>
                        <w:t xml:space="preserve">; los </w:t>
                      </w:r>
                      <w:r>
                        <w:rPr>
                          <w:rFonts w:ascii="Arial" w:eastAsia="Times New Roman" w:hAnsi="Arial" w:cs="Arial"/>
                          <w:b/>
                          <w:color w:val="FFFFFF" w:themeColor="background1"/>
                          <w:sz w:val="25"/>
                          <w:szCs w:val="25"/>
                          <w:lang w:eastAsia="es-MX"/>
                        </w:rPr>
                        <w:t>p</w:t>
                      </w:r>
                      <w:r w:rsidRPr="00102FF3">
                        <w:rPr>
                          <w:rFonts w:ascii="Arial" w:eastAsia="Times New Roman" w:hAnsi="Arial" w:cs="Arial"/>
                          <w:b/>
                          <w:color w:val="FFFFFF" w:themeColor="background1"/>
                          <w:sz w:val="25"/>
                          <w:szCs w:val="25"/>
                          <w:lang w:eastAsia="es-MX"/>
                        </w:rPr>
                        <w:t>roductos</w:t>
                      </w:r>
                      <w:r w:rsidRPr="00380081">
                        <w:rPr>
                          <w:rFonts w:ascii="Arial" w:eastAsia="Times New Roman" w:hAnsi="Arial" w:cs="Arial"/>
                          <w:b/>
                          <w:color w:val="FFFFFF" w:themeColor="background1"/>
                          <w:sz w:val="25"/>
                          <w:szCs w:val="25"/>
                          <w:lang w:eastAsia="es-MX"/>
                        </w:rPr>
                        <w:t xml:space="preserve"> o</w:t>
                      </w:r>
                      <w:r w:rsidRPr="00102FF3">
                        <w:rPr>
                          <w:rFonts w:ascii="Arial" w:eastAsia="Times New Roman" w:hAnsi="Arial" w:cs="Arial"/>
                          <w:b/>
                          <w:color w:val="FFFFFF" w:themeColor="background1"/>
                          <w:sz w:val="25"/>
                          <w:szCs w:val="25"/>
                          <w:lang w:eastAsia="es-MX"/>
                        </w:rPr>
                        <w:t xml:space="preserve"> entrega de bienes y servicios a la población beneficiaria</w:t>
                      </w:r>
                      <w:r>
                        <w:rPr>
                          <w:rFonts w:ascii="Arial" w:eastAsia="Times New Roman" w:hAnsi="Arial" w:cs="Arial"/>
                          <w:b/>
                          <w:color w:val="FFFFFF" w:themeColor="background1"/>
                          <w:sz w:val="25"/>
                          <w:szCs w:val="25"/>
                          <w:lang w:eastAsia="es-MX"/>
                        </w:rPr>
                        <w:t xml:space="preserve">; </w:t>
                      </w:r>
                      <w:r w:rsidRPr="00102FF3">
                        <w:rPr>
                          <w:rFonts w:ascii="Arial" w:eastAsia="Times New Roman" w:hAnsi="Arial" w:cs="Arial"/>
                          <w:b/>
                          <w:color w:val="FFFFFF" w:themeColor="background1"/>
                          <w:sz w:val="25"/>
                          <w:szCs w:val="25"/>
                          <w:lang w:eastAsia="es-MX"/>
                        </w:rPr>
                        <w:t xml:space="preserve">el ejercicio </w:t>
                      </w:r>
                      <w:r>
                        <w:rPr>
                          <w:rFonts w:ascii="Arial" w:eastAsia="Times New Roman" w:hAnsi="Arial" w:cs="Arial"/>
                          <w:b/>
                          <w:color w:val="FFFFFF" w:themeColor="background1"/>
                          <w:sz w:val="25"/>
                          <w:szCs w:val="25"/>
                          <w:lang w:eastAsia="es-MX"/>
                        </w:rPr>
                        <w:t>d</w:t>
                      </w:r>
                      <w:r w:rsidRPr="00102FF3">
                        <w:rPr>
                          <w:rFonts w:ascii="Arial" w:eastAsia="Times New Roman" w:hAnsi="Arial" w:cs="Arial"/>
                          <w:b/>
                          <w:color w:val="FFFFFF" w:themeColor="background1"/>
                          <w:sz w:val="25"/>
                          <w:szCs w:val="25"/>
                          <w:lang w:eastAsia="es-MX"/>
                        </w:rPr>
                        <w:t>el presupuesto</w:t>
                      </w:r>
                      <w:r w:rsidRPr="00380081">
                        <w:rPr>
                          <w:rFonts w:ascii="Arial" w:eastAsia="Times New Roman" w:hAnsi="Arial" w:cs="Arial"/>
                          <w:b/>
                          <w:color w:val="FFFFFF" w:themeColor="background1"/>
                          <w:sz w:val="25"/>
                          <w:szCs w:val="25"/>
                          <w:lang w:eastAsia="es-MX"/>
                        </w:rPr>
                        <w:t xml:space="preserve">; la </w:t>
                      </w:r>
                      <w:r>
                        <w:rPr>
                          <w:rFonts w:ascii="Arial" w:eastAsia="Times New Roman" w:hAnsi="Arial" w:cs="Arial"/>
                          <w:b/>
                          <w:color w:val="FFFFFF" w:themeColor="background1"/>
                          <w:sz w:val="25"/>
                          <w:szCs w:val="25"/>
                          <w:lang w:eastAsia="es-MX"/>
                        </w:rPr>
                        <w:t>d</w:t>
                      </w:r>
                      <w:r w:rsidRPr="00102FF3">
                        <w:rPr>
                          <w:rFonts w:ascii="Arial" w:eastAsia="Times New Roman" w:hAnsi="Arial" w:cs="Arial"/>
                          <w:b/>
                          <w:color w:val="FFFFFF" w:themeColor="background1"/>
                          <w:sz w:val="25"/>
                          <w:szCs w:val="25"/>
                          <w:lang w:eastAsia="es-MX"/>
                        </w:rPr>
                        <w:t xml:space="preserve">efinición y cuantificación de la </w:t>
                      </w:r>
                      <w:r>
                        <w:rPr>
                          <w:rFonts w:ascii="Arial" w:eastAsia="Times New Roman" w:hAnsi="Arial" w:cs="Arial"/>
                          <w:b/>
                          <w:color w:val="FFFFFF" w:themeColor="background1"/>
                          <w:sz w:val="25"/>
                          <w:szCs w:val="25"/>
                          <w:lang w:eastAsia="es-MX"/>
                        </w:rPr>
                        <w:t>p</w:t>
                      </w:r>
                      <w:r w:rsidRPr="00102FF3">
                        <w:rPr>
                          <w:rFonts w:ascii="Arial" w:eastAsia="Times New Roman" w:hAnsi="Arial" w:cs="Arial"/>
                          <w:b/>
                          <w:color w:val="FFFFFF" w:themeColor="background1"/>
                          <w:sz w:val="25"/>
                          <w:szCs w:val="25"/>
                          <w:lang w:eastAsia="es-MX"/>
                        </w:rPr>
                        <w:t>oblación Potencial, Objetivo y Atendida</w:t>
                      </w:r>
                      <w:r w:rsidRPr="00380081">
                        <w:rPr>
                          <w:rFonts w:ascii="Arial" w:eastAsia="Times New Roman" w:hAnsi="Arial" w:cs="Arial"/>
                          <w:b/>
                          <w:color w:val="FFFFFF" w:themeColor="background1"/>
                          <w:sz w:val="25"/>
                          <w:szCs w:val="25"/>
                          <w:lang w:eastAsia="es-MX"/>
                        </w:rPr>
                        <w:t>;</w:t>
                      </w:r>
                      <w:r w:rsidRPr="00102FF3">
                        <w:rPr>
                          <w:rFonts w:ascii="Arial" w:eastAsia="Times New Roman" w:hAnsi="Arial" w:cs="Arial"/>
                          <w:b/>
                          <w:color w:val="FFFFFF" w:themeColor="background1"/>
                          <w:sz w:val="25"/>
                          <w:szCs w:val="25"/>
                          <w:lang w:eastAsia="es-MX"/>
                        </w:rPr>
                        <w:t xml:space="preserve"> así </w:t>
                      </w:r>
                      <w:r w:rsidRPr="00380081">
                        <w:rPr>
                          <w:rFonts w:ascii="Arial" w:eastAsia="Times New Roman" w:hAnsi="Arial" w:cs="Arial"/>
                          <w:b/>
                          <w:color w:val="FFFFFF" w:themeColor="background1"/>
                          <w:sz w:val="25"/>
                          <w:szCs w:val="25"/>
                          <w:lang w:eastAsia="es-MX"/>
                        </w:rPr>
                        <w:t>mismo</w:t>
                      </w:r>
                      <w:r w:rsidRPr="00102FF3">
                        <w:rPr>
                          <w:rFonts w:ascii="Arial" w:eastAsia="Times New Roman" w:hAnsi="Arial" w:cs="Arial"/>
                          <w:b/>
                          <w:color w:val="FFFFFF" w:themeColor="background1"/>
                          <w:sz w:val="25"/>
                          <w:szCs w:val="25"/>
                          <w:lang w:eastAsia="es-MX"/>
                        </w:rPr>
                        <w:t xml:space="preserve"> la localización geográfica de la Población Atendida</w:t>
                      </w:r>
                      <w:r w:rsidRPr="00380081">
                        <w:rPr>
                          <w:rFonts w:ascii="Arial" w:eastAsia="Times New Roman" w:hAnsi="Arial" w:cs="Arial"/>
                          <w:b/>
                          <w:color w:val="FFFFFF" w:themeColor="background1"/>
                          <w:sz w:val="25"/>
                          <w:szCs w:val="25"/>
                          <w:lang w:eastAsia="es-MX"/>
                        </w:rPr>
                        <w:t xml:space="preserve"> y; el  </w:t>
                      </w:r>
                      <w:r w:rsidRPr="00102FF3">
                        <w:rPr>
                          <w:rFonts w:ascii="Arial" w:eastAsia="Times New Roman" w:hAnsi="Arial" w:cs="Arial"/>
                          <w:b/>
                          <w:color w:val="FFFFFF" w:themeColor="background1"/>
                          <w:sz w:val="25"/>
                          <w:szCs w:val="25"/>
                          <w:lang w:eastAsia="es-MX"/>
                        </w:rPr>
                        <w:t>Seguimiento de aspectos susceptibles de mejora</w:t>
                      </w:r>
                      <w:r w:rsidRPr="00380081">
                        <w:rPr>
                          <w:rFonts w:ascii="Arial" w:eastAsia="Times New Roman" w:hAnsi="Arial" w:cs="Arial"/>
                          <w:b/>
                          <w:color w:val="FFFFFF" w:themeColor="background1"/>
                          <w:sz w:val="25"/>
                          <w:szCs w:val="25"/>
                          <w:lang w:eastAsia="es-MX"/>
                        </w:rPr>
                        <w:t xml:space="preserve"> respecto a</w:t>
                      </w:r>
                      <w:r w:rsidRPr="00102FF3">
                        <w:rPr>
                          <w:rFonts w:ascii="Arial" w:eastAsia="Times New Roman" w:hAnsi="Arial" w:cs="Arial"/>
                          <w:b/>
                          <w:color w:val="FFFFFF" w:themeColor="background1"/>
                          <w:sz w:val="25"/>
                          <w:szCs w:val="25"/>
                          <w:lang w:eastAsia="es-MX"/>
                        </w:rPr>
                        <w:t xml:space="preserve"> los compromisos de mejora que definen los programas a partir de las evaluaciones</w:t>
                      </w:r>
                      <w:r>
                        <w:rPr>
                          <w:rFonts w:ascii="Arial" w:eastAsia="Times New Roman" w:hAnsi="Arial" w:cs="Arial"/>
                          <w:b/>
                          <w:color w:val="FFFFFF" w:themeColor="background1"/>
                          <w:sz w:val="25"/>
                          <w:szCs w:val="25"/>
                          <w:lang w:eastAsia="es-MX"/>
                        </w:rPr>
                        <w:t xml:space="preserve"> de ejercicios </w:t>
                      </w:r>
                      <w:r w:rsidRPr="00380081">
                        <w:rPr>
                          <w:rFonts w:ascii="Arial" w:eastAsia="Times New Roman" w:hAnsi="Arial" w:cs="Arial"/>
                          <w:b/>
                          <w:color w:val="FFFFFF" w:themeColor="background1"/>
                          <w:sz w:val="25"/>
                          <w:szCs w:val="25"/>
                          <w:lang w:eastAsia="es-MX"/>
                        </w:rPr>
                        <w:t>anteriores</w:t>
                      </w:r>
                      <w:r>
                        <w:rPr>
                          <w:rFonts w:ascii="Arial" w:eastAsia="Times New Roman" w:hAnsi="Arial" w:cs="Arial"/>
                          <w:b/>
                          <w:color w:val="FFFFFF" w:themeColor="background1"/>
                          <w:sz w:val="25"/>
                          <w:szCs w:val="25"/>
                          <w:lang w:eastAsia="es-MX"/>
                        </w:rPr>
                        <w:t>.</w:t>
                      </w:r>
                    </w:p>
                    <w:p w:rsidR="00E0113E" w:rsidRPr="009335AE" w:rsidRDefault="00E0113E" w:rsidP="00445CB0">
                      <w:pPr>
                        <w:rPr>
                          <w:b/>
                          <w:color w:val="FFFFFF" w:themeColor="background1"/>
                        </w:rPr>
                      </w:pPr>
                    </w:p>
                  </w:txbxContent>
                </v:textbox>
              </v:roundrect>
            </w:pict>
          </mc:Fallback>
        </mc:AlternateContent>
      </w:r>
    </w:p>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445CB0" w:rsidRDefault="00445CB0" w:rsidP="00445CB0"/>
    <w:p w:rsidR="00573B70" w:rsidRDefault="00573B70" w:rsidP="00573B70">
      <w:pPr>
        <w:jc w:val="center"/>
      </w:pPr>
    </w:p>
    <w:p w:rsidR="00573B70" w:rsidRDefault="00573B70" w:rsidP="00573B70">
      <w:pPr>
        <w:jc w:val="center"/>
      </w:pPr>
    </w:p>
    <w:p w:rsidR="00573B70" w:rsidRDefault="00573B70" w:rsidP="00573B70">
      <w:pPr>
        <w:jc w:val="center"/>
      </w:pPr>
    </w:p>
    <w:p w:rsidR="00573B70" w:rsidRDefault="00573B70" w:rsidP="00573B70">
      <w:pPr>
        <w:jc w:val="center"/>
      </w:pPr>
    </w:p>
    <w:p w:rsidR="00573B70" w:rsidRDefault="00573B70" w:rsidP="00573B70">
      <w:pPr>
        <w:jc w:val="center"/>
      </w:pPr>
    </w:p>
    <w:p w:rsidR="00573B70" w:rsidRPr="00F24EC4" w:rsidRDefault="00573B70" w:rsidP="008C1EA5">
      <w:pPr>
        <w:spacing w:after="0"/>
        <w:jc w:val="center"/>
        <w:rPr>
          <w:rFonts w:ascii="Maiandra GD" w:hAnsi="Maiandra GD"/>
          <w:b/>
          <w:color w:val="632423" w:themeColor="accent2" w:themeShade="80"/>
          <w:sz w:val="32"/>
          <w:szCs w:val="32"/>
        </w:rPr>
      </w:pPr>
      <w:r w:rsidRPr="00F24EC4">
        <w:rPr>
          <w:rFonts w:ascii="Maiandra GD" w:hAnsi="Maiandra GD"/>
          <w:b/>
          <w:color w:val="632423" w:themeColor="accent2" w:themeShade="80"/>
          <w:sz w:val="32"/>
          <w:szCs w:val="32"/>
        </w:rPr>
        <w:t>EVALUACIÓN ESPECÍFICA DE DESEMPEÑO DE LAS PARTICIPACIONES FEDERALES A ENTIDADES FEDERATIVAS</w:t>
      </w:r>
    </w:p>
    <w:p w:rsidR="00573B70" w:rsidRPr="00F24EC4" w:rsidRDefault="004E0AB0" w:rsidP="0042277A">
      <w:pPr>
        <w:jc w:val="center"/>
        <w:rPr>
          <w:rFonts w:ascii="Maiandra GD" w:hAnsi="Maiandra GD"/>
          <w:b/>
          <w:color w:val="632423" w:themeColor="accent2" w:themeShade="80"/>
          <w:sz w:val="32"/>
          <w:szCs w:val="32"/>
        </w:rPr>
      </w:pPr>
      <w:r w:rsidRPr="00F24EC4">
        <w:rPr>
          <w:rFonts w:ascii="Maiandra GD" w:hAnsi="Maiandra GD"/>
          <w:b/>
          <w:color w:val="632423" w:themeColor="accent2" w:themeShade="80"/>
          <w:sz w:val="32"/>
          <w:szCs w:val="32"/>
        </w:rPr>
        <w:t>EJERCICIO</w:t>
      </w:r>
      <w:r w:rsidR="00573B70" w:rsidRPr="00F24EC4">
        <w:rPr>
          <w:rFonts w:ascii="Maiandra GD" w:hAnsi="Maiandra GD"/>
          <w:b/>
          <w:color w:val="632423" w:themeColor="accent2" w:themeShade="80"/>
          <w:sz w:val="32"/>
          <w:szCs w:val="32"/>
        </w:rPr>
        <w:t xml:space="preserve"> 2017</w:t>
      </w:r>
    </w:p>
    <w:p w:rsidR="004E0AB0" w:rsidRPr="00F24EC4" w:rsidRDefault="004E0AB0" w:rsidP="004E0AB0">
      <w:pPr>
        <w:rPr>
          <w:rFonts w:ascii="Maiandra GD" w:hAnsi="Maiandra GD"/>
          <w:b/>
          <w:color w:val="632423" w:themeColor="accent2" w:themeShade="80"/>
          <w:sz w:val="32"/>
          <w:szCs w:val="32"/>
        </w:rPr>
      </w:pPr>
    </w:p>
    <w:p w:rsidR="004E0AB0" w:rsidRPr="00F24EC4" w:rsidRDefault="004E0AB0" w:rsidP="004E0AB0">
      <w:pPr>
        <w:rPr>
          <w:rFonts w:ascii="Maiandra GD" w:hAnsi="Maiandra GD"/>
          <w:b/>
          <w:color w:val="632423" w:themeColor="accent2" w:themeShade="80"/>
          <w:sz w:val="32"/>
          <w:szCs w:val="32"/>
        </w:rPr>
      </w:pPr>
    </w:p>
    <w:p w:rsidR="004E0AB0" w:rsidRPr="00F24EC4" w:rsidRDefault="00573B70" w:rsidP="0042277A">
      <w:pPr>
        <w:jc w:val="center"/>
        <w:rPr>
          <w:rFonts w:ascii="Maiandra GD" w:hAnsi="Maiandra GD"/>
          <w:b/>
          <w:color w:val="632423" w:themeColor="accent2" w:themeShade="80"/>
          <w:sz w:val="32"/>
          <w:szCs w:val="32"/>
        </w:rPr>
      </w:pPr>
      <w:r w:rsidRPr="00F24EC4">
        <w:rPr>
          <w:rFonts w:ascii="Maiandra GD" w:hAnsi="Maiandra GD"/>
          <w:b/>
          <w:color w:val="632423" w:themeColor="accent2" w:themeShade="80"/>
          <w:sz w:val="32"/>
          <w:szCs w:val="32"/>
        </w:rPr>
        <w:t>(</w:t>
      </w:r>
      <w:r w:rsidR="004E0AB0" w:rsidRPr="00F24EC4">
        <w:rPr>
          <w:rFonts w:ascii="Maiandra GD" w:hAnsi="Maiandra GD"/>
          <w:b/>
          <w:color w:val="632423" w:themeColor="accent2" w:themeShade="80"/>
          <w:sz w:val="32"/>
          <w:szCs w:val="32"/>
        </w:rPr>
        <w:t>Recursos Correspondientes al</w:t>
      </w:r>
      <w:r w:rsidR="000825F1" w:rsidRPr="00F24EC4">
        <w:rPr>
          <w:rFonts w:ascii="Maiandra GD" w:hAnsi="Maiandra GD"/>
          <w:b/>
          <w:color w:val="632423" w:themeColor="accent2" w:themeShade="80"/>
          <w:sz w:val="32"/>
          <w:szCs w:val="32"/>
        </w:rPr>
        <w:t xml:space="preserve"> </w:t>
      </w:r>
      <w:r w:rsidR="004E0AB0" w:rsidRPr="00F24EC4">
        <w:rPr>
          <w:rFonts w:ascii="Maiandra GD" w:hAnsi="Maiandra GD"/>
          <w:b/>
          <w:color w:val="632423" w:themeColor="accent2" w:themeShade="80"/>
          <w:sz w:val="32"/>
          <w:szCs w:val="32"/>
        </w:rPr>
        <w:t>Ramo General 28</w:t>
      </w:r>
    </w:p>
    <w:p w:rsidR="00573B70" w:rsidRPr="00F24EC4" w:rsidRDefault="004E0AB0" w:rsidP="0042277A">
      <w:pPr>
        <w:jc w:val="center"/>
        <w:rPr>
          <w:rFonts w:ascii="Maiandra GD" w:hAnsi="Maiandra GD"/>
          <w:b/>
          <w:color w:val="632423" w:themeColor="accent2" w:themeShade="80"/>
          <w:sz w:val="32"/>
          <w:szCs w:val="32"/>
        </w:rPr>
      </w:pPr>
      <w:r w:rsidRPr="00F24EC4">
        <w:rPr>
          <w:rFonts w:ascii="Maiandra GD" w:hAnsi="Maiandra GD"/>
          <w:b/>
          <w:color w:val="632423" w:themeColor="accent2" w:themeShade="80"/>
          <w:sz w:val="32"/>
          <w:szCs w:val="32"/>
        </w:rPr>
        <w:t>Participaciones a Ent</w:t>
      </w:r>
      <w:r w:rsidR="000825F1" w:rsidRPr="00F24EC4">
        <w:rPr>
          <w:rFonts w:ascii="Maiandra GD" w:hAnsi="Maiandra GD"/>
          <w:b/>
          <w:color w:val="632423" w:themeColor="accent2" w:themeShade="80"/>
          <w:sz w:val="32"/>
          <w:szCs w:val="32"/>
        </w:rPr>
        <w:t>idades Federativas y Municipios</w:t>
      </w:r>
      <w:r w:rsidR="00573B70" w:rsidRPr="00F24EC4">
        <w:rPr>
          <w:rFonts w:ascii="Maiandra GD" w:hAnsi="Maiandra GD"/>
          <w:b/>
          <w:color w:val="632423" w:themeColor="accent2" w:themeShade="80"/>
          <w:sz w:val="32"/>
          <w:szCs w:val="32"/>
        </w:rPr>
        <w:t xml:space="preserve">) </w:t>
      </w:r>
    </w:p>
    <w:p w:rsidR="003568B2" w:rsidRDefault="003568B2" w:rsidP="00573B70"/>
    <w:p w:rsidR="003568B2" w:rsidRDefault="003568B2" w:rsidP="00573B70"/>
    <w:p w:rsidR="000825F1" w:rsidRDefault="000825F1" w:rsidP="00573B70"/>
    <w:p w:rsidR="000825F1" w:rsidRDefault="000825F1" w:rsidP="00573B70"/>
    <w:p w:rsidR="000825F1" w:rsidRDefault="000825F1" w:rsidP="00573B70"/>
    <w:p w:rsidR="000825F1" w:rsidRDefault="000825F1" w:rsidP="00573B70"/>
    <w:p w:rsidR="000825F1" w:rsidRDefault="000825F1" w:rsidP="00573B70"/>
    <w:p w:rsidR="000825F1" w:rsidRDefault="000825F1" w:rsidP="00573B70"/>
    <w:p w:rsidR="00137C5E" w:rsidRDefault="00137C5E" w:rsidP="000825F1">
      <w:pPr>
        <w:pStyle w:val="Heading1"/>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br w:type="page"/>
      </w:r>
    </w:p>
    <w:p w:rsidR="000825F1" w:rsidRPr="00807941" w:rsidRDefault="00137C5E" w:rsidP="000825F1">
      <w:pPr>
        <w:pStyle w:val="Heading1"/>
        <w:rPr>
          <w:rStyle w:val="Heading1Char"/>
          <w:rFonts w:ascii="Maiandra GD" w:hAnsi="Maiandra GD"/>
          <w:color w:val="632423" w:themeColor="accent2" w:themeShade="80"/>
          <w:sz w:val="32"/>
          <w:szCs w:val="32"/>
        </w:rPr>
      </w:pPr>
      <w:bookmarkStart w:id="2" w:name="_Toc520556931"/>
      <w:r w:rsidRPr="00807941">
        <w:rPr>
          <w:rStyle w:val="Heading1Char"/>
          <w:rFonts w:ascii="Maiandra GD" w:hAnsi="Maiandra GD"/>
          <w:b/>
          <w:color w:val="632423" w:themeColor="accent2" w:themeShade="80"/>
          <w:sz w:val="32"/>
          <w:szCs w:val="32"/>
        </w:rPr>
        <w:lastRenderedPageBreak/>
        <w:t>Í</w:t>
      </w:r>
      <w:r w:rsidR="000825F1" w:rsidRPr="00807941">
        <w:rPr>
          <w:rStyle w:val="Heading1Char"/>
          <w:rFonts w:ascii="Maiandra GD" w:hAnsi="Maiandra GD"/>
          <w:b/>
          <w:color w:val="632423" w:themeColor="accent2" w:themeShade="80"/>
          <w:sz w:val="32"/>
          <w:szCs w:val="32"/>
        </w:rPr>
        <w:t>NDICE</w:t>
      </w:r>
      <w:bookmarkEnd w:id="2"/>
    </w:p>
    <w:sdt>
      <w:sdtPr>
        <w:rPr>
          <w:rFonts w:ascii="Maiandra GD" w:eastAsiaTheme="minorHAnsi" w:hAnsi="Maiandra GD" w:cstheme="minorBidi"/>
          <w:color w:val="auto"/>
          <w:sz w:val="23"/>
          <w:szCs w:val="23"/>
          <w:lang w:val="es-ES" w:eastAsia="en-US"/>
        </w:rPr>
        <w:id w:val="-775862411"/>
        <w:docPartObj>
          <w:docPartGallery w:val="Table of Contents"/>
          <w:docPartUnique/>
        </w:docPartObj>
      </w:sdtPr>
      <w:sdtEndPr>
        <w:rPr>
          <w:b/>
          <w:bCs/>
        </w:rPr>
      </w:sdtEndPr>
      <w:sdtContent>
        <w:p w:rsidR="0042277A" w:rsidRPr="00132BE3" w:rsidRDefault="0042277A">
          <w:pPr>
            <w:pStyle w:val="TOCHeading"/>
            <w:rPr>
              <w:rFonts w:ascii="Maiandra GD" w:hAnsi="Maiandra GD"/>
              <w:color w:val="FFFFFF" w:themeColor="background1"/>
              <w:sz w:val="23"/>
              <w:szCs w:val="23"/>
            </w:rPr>
          </w:pPr>
          <w:r w:rsidRPr="00132BE3">
            <w:rPr>
              <w:rFonts w:ascii="Maiandra GD" w:hAnsi="Maiandra GD"/>
              <w:color w:val="FFFFFF" w:themeColor="background1"/>
              <w:sz w:val="23"/>
              <w:szCs w:val="23"/>
              <w:lang w:val="es-ES"/>
            </w:rPr>
            <w:t>Contenido</w:t>
          </w:r>
        </w:p>
        <w:p w:rsidR="008D4CC4" w:rsidRDefault="0042277A">
          <w:pPr>
            <w:pStyle w:val="TOC1"/>
            <w:tabs>
              <w:tab w:val="right" w:leader="dot" w:pos="8828"/>
            </w:tabs>
            <w:rPr>
              <w:rFonts w:eastAsiaTheme="minorEastAsia"/>
              <w:noProof/>
              <w:lang w:eastAsia="es-MX"/>
            </w:rPr>
          </w:pPr>
          <w:r w:rsidRPr="00132BE3">
            <w:rPr>
              <w:rFonts w:ascii="Maiandra GD" w:hAnsi="Maiandra GD"/>
              <w:sz w:val="23"/>
              <w:szCs w:val="23"/>
            </w:rPr>
            <w:fldChar w:fldCharType="begin"/>
          </w:r>
          <w:r w:rsidRPr="00132BE3">
            <w:rPr>
              <w:rFonts w:ascii="Maiandra GD" w:hAnsi="Maiandra GD"/>
              <w:sz w:val="23"/>
              <w:szCs w:val="23"/>
            </w:rPr>
            <w:instrText xml:space="preserve"> TOC \o "1-3" \h \z \u </w:instrText>
          </w:r>
          <w:r w:rsidRPr="00132BE3">
            <w:rPr>
              <w:rFonts w:ascii="Maiandra GD" w:hAnsi="Maiandra GD"/>
              <w:sz w:val="23"/>
              <w:szCs w:val="23"/>
            </w:rPr>
            <w:fldChar w:fldCharType="separate"/>
          </w:r>
          <w:hyperlink w:anchor="_Toc520556930" w:history="1">
            <w:r w:rsidR="008D4CC4" w:rsidRPr="0011117D">
              <w:rPr>
                <w:rStyle w:val="Hyperlink"/>
                <w:noProof/>
              </w:rPr>
              <w:t>PRESENTACIÓN</w:t>
            </w:r>
            <w:r w:rsidR="008D4CC4">
              <w:rPr>
                <w:noProof/>
                <w:webHidden/>
              </w:rPr>
              <w:tab/>
            </w:r>
            <w:r w:rsidR="008D4CC4">
              <w:rPr>
                <w:noProof/>
                <w:webHidden/>
              </w:rPr>
              <w:fldChar w:fldCharType="begin"/>
            </w:r>
            <w:r w:rsidR="008D4CC4">
              <w:rPr>
                <w:noProof/>
                <w:webHidden/>
              </w:rPr>
              <w:instrText xml:space="preserve"> PAGEREF _Toc520556930 \h </w:instrText>
            </w:r>
            <w:r w:rsidR="008D4CC4">
              <w:rPr>
                <w:noProof/>
                <w:webHidden/>
              </w:rPr>
            </w:r>
            <w:r w:rsidR="008D4CC4">
              <w:rPr>
                <w:noProof/>
                <w:webHidden/>
              </w:rPr>
              <w:fldChar w:fldCharType="separate"/>
            </w:r>
            <w:r w:rsidR="008D4CC4">
              <w:rPr>
                <w:noProof/>
                <w:webHidden/>
              </w:rPr>
              <w:t>2</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31" w:history="1">
            <w:r w:rsidR="008D4CC4" w:rsidRPr="0011117D">
              <w:rPr>
                <w:rStyle w:val="Hyperlink"/>
                <w:rFonts w:ascii="Maiandra GD" w:hAnsi="Maiandra GD"/>
                <w:noProof/>
              </w:rPr>
              <w:t>ÍNDICE</w:t>
            </w:r>
            <w:r w:rsidR="008D4CC4">
              <w:rPr>
                <w:noProof/>
                <w:webHidden/>
              </w:rPr>
              <w:tab/>
            </w:r>
            <w:r w:rsidR="008D4CC4">
              <w:rPr>
                <w:noProof/>
                <w:webHidden/>
              </w:rPr>
              <w:fldChar w:fldCharType="begin"/>
            </w:r>
            <w:r w:rsidR="008D4CC4">
              <w:rPr>
                <w:noProof/>
                <w:webHidden/>
              </w:rPr>
              <w:instrText xml:space="preserve"> PAGEREF _Toc520556931 \h </w:instrText>
            </w:r>
            <w:r w:rsidR="008D4CC4">
              <w:rPr>
                <w:noProof/>
                <w:webHidden/>
              </w:rPr>
            </w:r>
            <w:r w:rsidR="008D4CC4">
              <w:rPr>
                <w:noProof/>
                <w:webHidden/>
              </w:rPr>
              <w:fldChar w:fldCharType="separate"/>
            </w:r>
            <w:r w:rsidR="008D4CC4">
              <w:rPr>
                <w:noProof/>
                <w:webHidden/>
              </w:rPr>
              <w:t>4</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32" w:history="1">
            <w:r w:rsidR="008D4CC4" w:rsidRPr="0011117D">
              <w:rPr>
                <w:rStyle w:val="Hyperlink"/>
                <w:rFonts w:ascii="Maiandra GD" w:hAnsi="Maiandra GD"/>
                <w:noProof/>
              </w:rPr>
              <w:t>INTRODUCCIÓN</w:t>
            </w:r>
            <w:r w:rsidR="008D4CC4">
              <w:rPr>
                <w:noProof/>
                <w:webHidden/>
              </w:rPr>
              <w:tab/>
            </w:r>
            <w:r w:rsidR="008D4CC4">
              <w:rPr>
                <w:noProof/>
                <w:webHidden/>
              </w:rPr>
              <w:fldChar w:fldCharType="begin"/>
            </w:r>
            <w:r w:rsidR="008D4CC4">
              <w:rPr>
                <w:noProof/>
                <w:webHidden/>
              </w:rPr>
              <w:instrText xml:space="preserve"> PAGEREF _Toc520556932 \h </w:instrText>
            </w:r>
            <w:r w:rsidR="008D4CC4">
              <w:rPr>
                <w:noProof/>
                <w:webHidden/>
              </w:rPr>
            </w:r>
            <w:r w:rsidR="008D4CC4">
              <w:rPr>
                <w:noProof/>
                <w:webHidden/>
              </w:rPr>
              <w:fldChar w:fldCharType="separate"/>
            </w:r>
            <w:r w:rsidR="008D4CC4">
              <w:rPr>
                <w:noProof/>
                <w:webHidden/>
              </w:rPr>
              <w:t>5</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33" w:history="1">
            <w:r w:rsidR="008D4CC4" w:rsidRPr="0011117D">
              <w:rPr>
                <w:rStyle w:val="Hyperlink"/>
                <w:rFonts w:ascii="Maiandra GD" w:hAnsi="Maiandra GD"/>
                <w:noProof/>
              </w:rPr>
              <w:t>DATOS GENERALES</w:t>
            </w:r>
            <w:r w:rsidR="008D4CC4">
              <w:rPr>
                <w:noProof/>
                <w:webHidden/>
              </w:rPr>
              <w:tab/>
            </w:r>
            <w:r w:rsidR="008D4CC4">
              <w:rPr>
                <w:noProof/>
                <w:webHidden/>
              </w:rPr>
              <w:fldChar w:fldCharType="begin"/>
            </w:r>
            <w:r w:rsidR="008D4CC4">
              <w:rPr>
                <w:noProof/>
                <w:webHidden/>
              </w:rPr>
              <w:instrText xml:space="preserve"> PAGEREF _Toc520556933 \h </w:instrText>
            </w:r>
            <w:r w:rsidR="008D4CC4">
              <w:rPr>
                <w:noProof/>
                <w:webHidden/>
              </w:rPr>
            </w:r>
            <w:r w:rsidR="008D4CC4">
              <w:rPr>
                <w:noProof/>
                <w:webHidden/>
              </w:rPr>
              <w:fldChar w:fldCharType="separate"/>
            </w:r>
            <w:r w:rsidR="008D4CC4">
              <w:rPr>
                <w:noProof/>
                <w:webHidden/>
              </w:rPr>
              <w:t>14</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34" w:history="1">
            <w:r w:rsidR="008D4CC4" w:rsidRPr="0011117D">
              <w:rPr>
                <w:rStyle w:val="Hyperlink"/>
                <w:noProof/>
              </w:rPr>
              <w:t>Nombre</w:t>
            </w:r>
            <w:r w:rsidR="008D4CC4">
              <w:rPr>
                <w:noProof/>
                <w:webHidden/>
              </w:rPr>
              <w:tab/>
            </w:r>
            <w:r w:rsidR="008D4CC4">
              <w:rPr>
                <w:noProof/>
                <w:webHidden/>
              </w:rPr>
              <w:fldChar w:fldCharType="begin"/>
            </w:r>
            <w:r w:rsidR="008D4CC4">
              <w:rPr>
                <w:noProof/>
                <w:webHidden/>
              </w:rPr>
              <w:instrText xml:space="preserve"> PAGEREF _Toc520556934 \h </w:instrText>
            </w:r>
            <w:r w:rsidR="008D4CC4">
              <w:rPr>
                <w:noProof/>
                <w:webHidden/>
              </w:rPr>
            </w:r>
            <w:r w:rsidR="008D4CC4">
              <w:rPr>
                <w:noProof/>
                <w:webHidden/>
              </w:rPr>
              <w:fldChar w:fldCharType="separate"/>
            </w:r>
            <w:r w:rsidR="008D4CC4">
              <w:rPr>
                <w:noProof/>
                <w:webHidden/>
              </w:rPr>
              <w:t>14</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35" w:history="1">
            <w:r w:rsidR="008D4CC4" w:rsidRPr="0011117D">
              <w:rPr>
                <w:rStyle w:val="Hyperlink"/>
                <w:rFonts w:ascii="Maiandra GD" w:hAnsi="Maiandra GD" w:cs="Tahoma"/>
                <w:noProof/>
              </w:rPr>
              <w:t>Dependencia, Entidad y Unidad responsable del programa presupuestario estatal o del gasto federalizado</w:t>
            </w:r>
            <w:r w:rsidR="008D4CC4">
              <w:rPr>
                <w:noProof/>
                <w:webHidden/>
              </w:rPr>
              <w:tab/>
            </w:r>
            <w:r w:rsidR="008D4CC4">
              <w:rPr>
                <w:noProof/>
                <w:webHidden/>
              </w:rPr>
              <w:fldChar w:fldCharType="begin"/>
            </w:r>
            <w:r w:rsidR="008D4CC4">
              <w:rPr>
                <w:noProof/>
                <w:webHidden/>
              </w:rPr>
              <w:instrText xml:space="preserve"> PAGEREF _Toc520556935 \h </w:instrText>
            </w:r>
            <w:r w:rsidR="008D4CC4">
              <w:rPr>
                <w:noProof/>
                <w:webHidden/>
              </w:rPr>
            </w:r>
            <w:r w:rsidR="008D4CC4">
              <w:rPr>
                <w:noProof/>
                <w:webHidden/>
              </w:rPr>
              <w:fldChar w:fldCharType="separate"/>
            </w:r>
            <w:r w:rsidR="008D4CC4">
              <w:rPr>
                <w:noProof/>
                <w:webHidden/>
              </w:rPr>
              <w:t>16</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36" w:history="1">
            <w:r w:rsidR="008D4CC4" w:rsidRPr="0011117D">
              <w:rPr>
                <w:rStyle w:val="Hyperlink"/>
                <w:rFonts w:ascii="Tahoma" w:hAnsi="Tahoma" w:cs="Tahoma"/>
                <w:noProof/>
              </w:rPr>
              <w:t>Población objetivo y población atendida</w:t>
            </w:r>
            <w:r w:rsidR="008D4CC4">
              <w:rPr>
                <w:noProof/>
                <w:webHidden/>
              </w:rPr>
              <w:tab/>
            </w:r>
            <w:r w:rsidR="008D4CC4">
              <w:rPr>
                <w:noProof/>
                <w:webHidden/>
              </w:rPr>
              <w:fldChar w:fldCharType="begin"/>
            </w:r>
            <w:r w:rsidR="008D4CC4">
              <w:rPr>
                <w:noProof/>
                <w:webHidden/>
              </w:rPr>
              <w:instrText xml:space="preserve"> PAGEREF _Toc520556936 \h </w:instrText>
            </w:r>
            <w:r w:rsidR="008D4CC4">
              <w:rPr>
                <w:noProof/>
                <w:webHidden/>
              </w:rPr>
            </w:r>
            <w:r w:rsidR="008D4CC4">
              <w:rPr>
                <w:noProof/>
                <w:webHidden/>
              </w:rPr>
              <w:fldChar w:fldCharType="separate"/>
            </w:r>
            <w:r w:rsidR="008D4CC4">
              <w:rPr>
                <w:noProof/>
                <w:webHidden/>
              </w:rPr>
              <w:t>17</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37" w:history="1">
            <w:r w:rsidR="008D4CC4" w:rsidRPr="0011117D">
              <w:rPr>
                <w:rStyle w:val="Hyperlink"/>
                <w:rFonts w:ascii="Tahoma" w:hAnsi="Tahoma" w:cs="Tahoma"/>
                <w:noProof/>
              </w:rPr>
              <w:t>Presupuesto autorizado, modificado y ejercido, Baja California, en el ejercicio fiscal 2017</w:t>
            </w:r>
            <w:r w:rsidR="008D4CC4">
              <w:rPr>
                <w:noProof/>
                <w:webHidden/>
              </w:rPr>
              <w:tab/>
            </w:r>
            <w:r w:rsidR="008D4CC4">
              <w:rPr>
                <w:noProof/>
                <w:webHidden/>
              </w:rPr>
              <w:fldChar w:fldCharType="begin"/>
            </w:r>
            <w:r w:rsidR="008D4CC4">
              <w:rPr>
                <w:noProof/>
                <w:webHidden/>
              </w:rPr>
              <w:instrText xml:space="preserve"> PAGEREF _Toc520556937 \h </w:instrText>
            </w:r>
            <w:r w:rsidR="008D4CC4">
              <w:rPr>
                <w:noProof/>
                <w:webHidden/>
              </w:rPr>
            </w:r>
            <w:r w:rsidR="008D4CC4">
              <w:rPr>
                <w:noProof/>
                <w:webHidden/>
              </w:rPr>
              <w:fldChar w:fldCharType="separate"/>
            </w:r>
            <w:r w:rsidR="008D4CC4">
              <w:rPr>
                <w:noProof/>
                <w:webHidden/>
              </w:rPr>
              <w:t>18</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38" w:history="1">
            <w:r w:rsidR="008D4CC4" w:rsidRPr="0011117D">
              <w:rPr>
                <w:rStyle w:val="Hyperlink"/>
                <w:rFonts w:ascii="Maiandra GD" w:hAnsi="Maiandra GD"/>
                <w:noProof/>
              </w:rPr>
              <w:t>Objetivo</w:t>
            </w:r>
            <w:r w:rsidR="008D4CC4">
              <w:rPr>
                <w:noProof/>
                <w:webHidden/>
              </w:rPr>
              <w:tab/>
            </w:r>
            <w:r w:rsidR="008D4CC4">
              <w:rPr>
                <w:noProof/>
                <w:webHidden/>
              </w:rPr>
              <w:fldChar w:fldCharType="begin"/>
            </w:r>
            <w:r w:rsidR="008D4CC4">
              <w:rPr>
                <w:noProof/>
                <w:webHidden/>
              </w:rPr>
              <w:instrText xml:space="preserve"> PAGEREF _Toc520556938 \h </w:instrText>
            </w:r>
            <w:r w:rsidR="008D4CC4">
              <w:rPr>
                <w:noProof/>
                <w:webHidden/>
              </w:rPr>
            </w:r>
            <w:r w:rsidR="008D4CC4">
              <w:rPr>
                <w:noProof/>
                <w:webHidden/>
              </w:rPr>
              <w:fldChar w:fldCharType="separate"/>
            </w:r>
            <w:r w:rsidR="008D4CC4">
              <w:rPr>
                <w:noProof/>
                <w:webHidden/>
              </w:rPr>
              <w:t>20</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39" w:history="1">
            <w:r w:rsidR="008D4CC4" w:rsidRPr="0011117D">
              <w:rPr>
                <w:rStyle w:val="Hyperlink"/>
                <w:rFonts w:ascii="Maiandra GD" w:hAnsi="Maiandra GD"/>
                <w:noProof/>
              </w:rPr>
              <w:t>Destino del Gasto</w:t>
            </w:r>
            <w:r w:rsidR="008D4CC4">
              <w:rPr>
                <w:noProof/>
                <w:webHidden/>
              </w:rPr>
              <w:tab/>
            </w:r>
            <w:r w:rsidR="008D4CC4">
              <w:rPr>
                <w:noProof/>
                <w:webHidden/>
              </w:rPr>
              <w:fldChar w:fldCharType="begin"/>
            </w:r>
            <w:r w:rsidR="008D4CC4">
              <w:rPr>
                <w:noProof/>
                <w:webHidden/>
              </w:rPr>
              <w:instrText xml:space="preserve"> PAGEREF _Toc520556939 \h </w:instrText>
            </w:r>
            <w:r w:rsidR="008D4CC4">
              <w:rPr>
                <w:noProof/>
                <w:webHidden/>
              </w:rPr>
            </w:r>
            <w:r w:rsidR="008D4CC4">
              <w:rPr>
                <w:noProof/>
                <w:webHidden/>
              </w:rPr>
              <w:fldChar w:fldCharType="separate"/>
            </w:r>
            <w:r w:rsidR="008D4CC4">
              <w:rPr>
                <w:noProof/>
                <w:webHidden/>
              </w:rPr>
              <w:t>21</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40" w:history="1">
            <w:r w:rsidR="008D4CC4" w:rsidRPr="0011117D">
              <w:rPr>
                <w:rStyle w:val="Hyperlink"/>
                <w:rFonts w:ascii="Maiandra GD" w:hAnsi="Maiandra GD"/>
                <w:noProof/>
              </w:rPr>
              <w:t>Alineación Plan Nacional de Desarrollo, Plan Estatal de Desarrollo.</w:t>
            </w:r>
            <w:r w:rsidR="008D4CC4">
              <w:rPr>
                <w:noProof/>
                <w:webHidden/>
              </w:rPr>
              <w:tab/>
            </w:r>
            <w:r w:rsidR="008D4CC4">
              <w:rPr>
                <w:noProof/>
                <w:webHidden/>
              </w:rPr>
              <w:fldChar w:fldCharType="begin"/>
            </w:r>
            <w:r w:rsidR="008D4CC4">
              <w:rPr>
                <w:noProof/>
                <w:webHidden/>
              </w:rPr>
              <w:instrText xml:space="preserve"> PAGEREF _Toc520556940 \h </w:instrText>
            </w:r>
            <w:r w:rsidR="008D4CC4">
              <w:rPr>
                <w:noProof/>
                <w:webHidden/>
              </w:rPr>
            </w:r>
            <w:r w:rsidR="008D4CC4">
              <w:rPr>
                <w:noProof/>
                <w:webHidden/>
              </w:rPr>
              <w:fldChar w:fldCharType="separate"/>
            </w:r>
            <w:r w:rsidR="008D4CC4">
              <w:rPr>
                <w:noProof/>
                <w:webHidden/>
              </w:rPr>
              <w:t>21</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41" w:history="1">
            <w:r w:rsidR="008D4CC4" w:rsidRPr="0011117D">
              <w:rPr>
                <w:rStyle w:val="Hyperlink"/>
                <w:rFonts w:ascii="Maiandra GD" w:hAnsi="Maiandra GD"/>
                <w:noProof/>
                <w:lang w:val="es-ES" w:eastAsia="es-MX"/>
              </w:rPr>
              <w:t>RESULTADOS LOGRADOS</w:t>
            </w:r>
            <w:r w:rsidR="008D4CC4">
              <w:rPr>
                <w:noProof/>
                <w:webHidden/>
              </w:rPr>
              <w:tab/>
            </w:r>
            <w:r w:rsidR="008D4CC4">
              <w:rPr>
                <w:noProof/>
                <w:webHidden/>
              </w:rPr>
              <w:fldChar w:fldCharType="begin"/>
            </w:r>
            <w:r w:rsidR="008D4CC4">
              <w:rPr>
                <w:noProof/>
                <w:webHidden/>
              </w:rPr>
              <w:instrText xml:space="preserve"> PAGEREF _Toc520556941 \h </w:instrText>
            </w:r>
            <w:r w:rsidR="008D4CC4">
              <w:rPr>
                <w:noProof/>
                <w:webHidden/>
              </w:rPr>
            </w:r>
            <w:r w:rsidR="008D4CC4">
              <w:rPr>
                <w:noProof/>
                <w:webHidden/>
              </w:rPr>
              <w:fldChar w:fldCharType="separate"/>
            </w:r>
            <w:r w:rsidR="008D4CC4">
              <w:rPr>
                <w:noProof/>
                <w:webHidden/>
              </w:rPr>
              <w:t>25</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42" w:history="1">
            <w:r w:rsidR="008D4CC4" w:rsidRPr="0011117D">
              <w:rPr>
                <w:rStyle w:val="Hyperlink"/>
                <w:noProof/>
                <w:lang w:val="es-ES" w:eastAsia="es-MX"/>
              </w:rPr>
              <w:t>Análisis del cumplimiento programático</w:t>
            </w:r>
            <w:r w:rsidR="008D4CC4">
              <w:rPr>
                <w:noProof/>
                <w:webHidden/>
              </w:rPr>
              <w:tab/>
            </w:r>
            <w:r w:rsidR="008D4CC4">
              <w:rPr>
                <w:noProof/>
                <w:webHidden/>
              </w:rPr>
              <w:fldChar w:fldCharType="begin"/>
            </w:r>
            <w:r w:rsidR="008D4CC4">
              <w:rPr>
                <w:noProof/>
                <w:webHidden/>
              </w:rPr>
              <w:instrText xml:space="preserve"> PAGEREF _Toc520556942 \h </w:instrText>
            </w:r>
            <w:r w:rsidR="008D4CC4">
              <w:rPr>
                <w:noProof/>
                <w:webHidden/>
              </w:rPr>
            </w:r>
            <w:r w:rsidR="008D4CC4">
              <w:rPr>
                <w:noProof/>
                <w:webHidden/>
              </w:rPr>
              <w:fldChar w:fldCharType="separate"/>
            </w:r>
            <w:r w:rsidR="008D4CC4">
              <w:rPr>
                <w:noProof/>
                <w:webHidden/>
              </w:rPr>
              <w:t>25</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43" w:history="1">
            <w:r w:rsidR="008D4CC4" w:rsidRPr="0011117D">
              <w:rPr>
                <w:rStyle w:val="Hyperlink"/>
                <w:noProof/>
                <w:lang w:val="es-ES" w:eastAsia="es-MX"/>
              </w:rPr>
              <w:t>Análisis de los indicadores</w:t>
            </w:r>
            <w:r w:rsidR="008D4CC4">
              <w:rPr>
                <w:noProof/>
                <w:webHidden/>
              </w:rPr>
              <w:tab/>
            </w:r>
            <w:r w:rsidR="008D4CC4">
              <w:rPr>
                <w:noProof/>
                <w:webHidden/>
              </w:rPr>
              <w:fldChar w:fldCharType="begin"/>
            </w:r>
            <w:r w:rsidR="008D4CC4">
              <w:rPr>
                <w:noProof/>
                <w:webHidden/>
              </w:rPr>
              <w:instrText xml:space="preserve"> PAGEREF _Toc520556943 \h </w:instrText>
            </w:r>
            <w:r w:rsidR="008D4CC4">
              <w:rPr>
                <w:noProof/>
                <w:webHidden/>
              </w:rPr>
            </w:r>
            <w:r w:rsidR="008D4CC4">
              <w:rPr>
                <w:noProof/>
                <w:webHidden/>
              </w:rPr>
              <w:fldChar w:fldCharType="separate"/>
            </w:r>
            <w:r w:rsidR="008D4CC4">
              <w:rPr>
                <w:noProof/>
                <w:webHidden/>
              </w:rPr>
              <w:t>27</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44" w:history="1">
            <w:r w:rsidR="008D4CC4" w:rsidRPr="0011117D">
              <w:rPr>
                <w:rStyle w:val="Hyperlink"/>
                <w:rFonts w:ascii="Maiandra GD" w:hAnsi="Maiandra GD"/>
                <w:noProof/>
                <w:lang w:val="es-ES" w:eastAsia="es-MX"/>
              </w:rPr>
              <w:t>ANÁLISIS DE LA COBERTURA</w:t>
            </w:r>
            <w:r w:rsidR="008D4CC4">
              <w:rPr>
                <w:noProof/>
                <w:webHidden/>
              </w:rPr>
              <w:tab/>
            </w:r>
            <w:r w:rsidR="008D4CC4">
              <w:rPr>
                <w:noProof/>
                <w:webHidden/>
              </w:rPr>
              <w:fldChar w:fldCharType="begin"/>
            </w:r>
            <w:r w:rsidR="008D4CC4">
              <w:rPr>
                <w:noProof/>
                <w:webHidden/>
              </w:rPr>
              <w:instrText xml:space="preserve"> PAGEREF _Toc520556944 \h </w:instrText>
            </w:r>
            <w:r w:rsidR="008D4CC4">
              <w:rPr>
                <w:noProof/>
                <w:webHidden/>
              </w:rPr>
            </w:r>
            <w:r w:rsidR="008D4CC4">
              <w:rPr>
                <w:noProof/>
                <w:webHidden/>
              </w:rPr>
              <w:fldChar w:fldCharType="separate"/>
            </w:r>
            <w:r w:rsidR="008D4CC4">
              <w:rPr>
                <w:noProof/>
                <w:webHidden/>
              </w:rPr>
              <w:t>34</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45" w:history="1">
            <w:r w:rsidR="008D4CC4" w:rsidRPr="0011117D">
              <w:rPr>
                <w:rStyle w:val="Hyperlink"/>
                <w:rFonts w:ascii="Maiandra GD" w:hAnsi="Maiandra GD"/>
                <w:noProof/>
                <w:lang w:val="es-ES" w:eastAsia="es-MX"/>
              </w:rPr>
              <w:t>ANÁLISIS SEGUIMIENTO A ASPECTOS SUSCEPTIBLES DE MEJORA</w:t>
            </w:r>
            <w:r w:rsidR="008D4CC4">
              <w:rPr>
                <w:noProof/>
                <w:webHidden/>
              </w:rPr>
              <w:tab/>
            </w:r>
            <w:r w:rsidR="008D4CC4">
              <w:rPr>
                <w:noProof/>
                <w:webHidden/>
              </w:rPr>
              <w:fldChar w:fldCharType="begin"/>
            </w:r>
            <w:r w:rsidR="008D4CC4">
              <w:rPr>
                <w:noProof/>
                <w:webHidden/>
              </w:rPr>
              <w:instrText xml:space="preserve"> PAGEREF _Toc520556945 \h </w:instrText>
            </w:r>
            <w:r w:rsidR="008D4CC4">
              <w:rPr>
                <w:noProof/>
                <w:webHidden/>
              </w:rPr>
            </w:r>
            <w:r w:rsidR="008D4CC4">
              <w:rPr>
                <w:noProof/>
                <w:webHidden/>
              </w:rPr>
              <w:fldChar w:fldCharType="separate"/>
            </w:r>
            <w:r w:rsidR="008D4CC4">
              <w:rPr>
                <w:noProof/>
                <w:webHidden/>
              </w:rPr>
              <w:t>40</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46" w:history="1">
            <w:r w:rsidR="008D4CC4" w:rsidRPr="0011117D">
              <w:rPr>
                <w:rStyle w:val="Hyperlink"/>
                <w:rFonts w:ascii="Maiandra GD" w:hAnsi="Maiandra GD"/>
                <w:noProof/>
                <w:lang w:val="es-ES" w:eastAsia="es-MX"/>
              </w:rPr>
              <w:t>CONCLUSIONES Y RECOMENDACIONES</w:t>
            </w:r>
            <w:r w:rsidR="008D4CC4">
              <w:rPr>
                <w:noProof/>
                <w:webHidden/>
              </w:rPr>
              <w:tab/>
            </w:r>
            <w:r w:rsidR="008D4CC4">
              <w:rPr>
                <w:noProof/>
                <w:webHidden/>
              </w:rPr>
              <w:fldChar w:fldCharType="begin"/>
            </w:r>
            <w:r w:rsidR="008D4CC4">
              <w:rPr>
                <w:noProof/>
                <w:webHidden/>
              </w:rPr>
              <w:instrText xml:space="preserve"> PAGEREF _Toc520556946 \h </w:instrText>
            </w:r>
            <w:r w:rsidR="008D4CC4">
              <w:rPr>
                <w:noProof/>
                <w:webHidden/>
              </w:rPr>
            </w:r>
            <w:r w:rsidR="008D4CC4">
              <w:rPr>
                <w:noProof/>
                <w:webHidden/>
              </w:rPr>
              <w:fldChar w:fldCharType="separate"/>
            </w:r>
            <w:r w:rsidR="008D4CC4">
              <w:rPr>
                <w:noProof/>
                <w:webHidden/>
              </w:rPr>
              <w:t>45</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47" w:history="1">
            <w:r w:rsidR="008D4CC4" w:rsidRPr="0011117D">
              <w:rPr>
                <w:rStyle w:val="Hyperlink"/>
                <w:rFonts w:ascii="Tahoma" w:hAnsi="Tahoma" w:cs="Tahoma"/>
                <w:noProof/>
                <w:lang w:val="es-ES"/>
              </w:rPr>
              <w:t>ANÁLISIS DE CONTENIDO: PRINCIPALES HALLAZGOS</w:t>
            </w:r>
            <w:r w:rsidR="008D4CC4">
              <w:rPr>
                <w:noProof/>
                <w:webHidden/>
              </w:rPr>
              <w:tab/>
            </w:r>
            <w:r w:rsidR="008D4CC4">
              <w:rPr>
                <w:noProof/>
                <w:webHidden/>
              </w:rPr>
              <w:fldChar w:fldCharType="begin"/>
            </w:r>
            <w:r w:rsidR="008D4CC4">
              <w:rPr>
                <w:noProof/>
                <w:webHidden/>
              </w:rPr>
              <w:instrText xml:space="preserve"> PAGEREF _Toc520556947 \h </w:instrText>
            </w:r>
            <w:r w:rsidR="008D4CC4">
              <w:rPr>
                <w:noProof/>
                <w:webHidden/>
              </w:rPr>
            </w:r>
            <w:r w:rsidR="008D4CC4">
              <w:rPr>
                <w:noProof/>
                <w:webHidden/>
              </w:rPr>
              <w:fldChar w:fldCharType="separate"/>
            </w:r>
            <w:r w:rsidR="008D4CC4">
              <w:rPr>
                <w:noProof/>
                <w:webHidden/>
              </w:rPr>
              <w:t>46</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48" w:history="1">
            <w:r w:rsidR="008D4CC4" w:rsidRPr="0011117D">
              <w:rPr>
                <w:rStyle w:val="Hyperlink"/>
                <w:rFonts w:ascii="Tahoma" w:hAnsi="Tahoma" w:cs="Tahoma"/>
                <w:noProof/>
                <w:lang w:val="es-ES"/>
              </w:rPr>
              <w:t>Fortalezas</w:t>
            </w:r>
            <w:r w:rsidR="008D4CC4">
              <w:rPr>
                <w:noProof/>
                <w:webHidden/>
              </w:rPr>
              <w:tab/>
            </w:r>
            <w:r w:rsidR="008D4CC4">
              <w:rPr>
                <w:noProof/>
                <w:webHidden/>
              </w:rPr>
              <w:fldChar w:fldCharType="begin"/>
            </w:r>
            <w:r w:rsidR="008D4CC4">
              <w:rPr>
                <w:noProof/>
                <w:webHidden/>
              </w:rPr>
              <w:instrText xml:space="preserve"> PAGEREF _Toc520556948 \h </w:instrText>
            </w:r>
            <w:r w:rsidR="008D4CC4">
              <w:rPr>
                <w:noProof/>
                <w:webHidden/>
              </w:rPr>
            </w:r>
            <w:r w:rsidR="008D4CC4">
              <w:rPr>
                <w:noProof/>
                <w:webHidden/>
              </w:rPr>
              <w:fldChar w:fldCharType="separate"/>
            </w:r>
            <w:r w:rsidR="008D4CC4">
              <w:rPr>
                <w:noProof/>
                <w:webHidden/>
              </w:rPr>
              <w:t>46</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49" w:history="1">
            <w:r w:rsidR="008D4CC4" w:rsidRPr="0011117D">
              <w:rPr>
                <w:rStyle w:val="Hyperlink"/>
                <w:rFonts w:ascii="Tahoma" w:hAnsi="Tahoma" w:cs="Tahoma"/>
                <w:noProof/>
                <w:lang w:val="es-ES"/>
              </w:rPr>
              <w:t>Oportunidades</w:t>
            </w:r>
            <w:r w:rsidR="008D4CC4">
              <w:rPr>
                <w:noProof/>
                <w:webHidden/>
              </w:rPr>
              <w:tab/>
            </w:r>
            <w:r w:rsidR="008D4CC4">
              <w:rPr>
                <w:noProof/>
                <w:webHidden/>
              </w:rPr>
              <w:fldChar w:fldCharType="begin"/>
            </w:r>
            <w:r w:rsidR="008D4CC4">
              <w:rPr>
                <w:noProof/>
                <w:webHidden/>
              </w:rPr>
              <w:instrText xml:space="preserve"> PAGEREF _Toc520556949 \h </w:instrText>
            </w:r>
            <w:r w:rsidR="008D4CC4">
              <w:rPr>
                <w:noProof/>
                <w:webHidden/>
              </w:rPr>
            </w:r>
            <w:r w:rsidR="008D4CC4">
              <w:rPr>
                <w:noProof/>
                <w:webHidden/>
              </w:rPr>
              <w:fldChar w:fldCharType="separate"/>
            </w:r>
            <w:r w:rsidR="008D4CC4">
              <w:rPr>
                <w:noProof/>
                <w:webHidden/>
              </w:rPr>
              <w:t>47</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50" w:history="1">
            <w:r w:rsidR="008D4CC4" w:rsidRPr="0011117D">
              <w:rPr>
                <w:rStyle w:val="Hyperlink"/>
                <w:rFonts w:ascii="Tahoma" w:hAnsi="Tahoma" w:cs="Tahoma"/>
                <w:noProof/>
                <w:lang w:val="es-ES"/>
              </w:rPr>
              <w:t>Debilidades</w:t>
            </w:r>
            <w:r w:rsidR="008D4CC4">
              <w:rPr>
                <w:noProof/>
                <w:webHidden/>
              </w:rPr>
              <w:tab/>
            </w:r>
            <w:r w:rsidR="008D4CC4">
              <w:rPr>
                <w:noProof/>
                <w:webHidden/>
              </w:rPr>
              <w:fldChar w:fldCharType="begin"/>
            </w:r>
            <w:r w:rsidR="008D4CC4">
              <w:rPr>
                <w:noProof/>
                <w:webHidden/>
              </w:rPr>
              <w:instrText xml:space="preserve"> PAGEREF _Toc520556950 \h </w:instrText>
            </w:r>
            <w:r w:rsidR="008D4CC4">
              <w:rPr>
                <w:noProof/>
                <w:webHidden/>
              </w:rPr>
            </w:r>
            <w:r w:rsidR="008D4CC4">
              <w:rPr>
                <w:noProof/>
                <w:webHidden/>
              </w:rPr>
              <w:fldChar w:fldCharType="separate"/>
            </w:r>
            <w:r w:rsidR="008D4CC4">
              <w:rPr>
                <w:noProof/>
                <w:webHidden/>
              </w:rPr>
              <w:t>49</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51" w:history="1">
            <w:r w:rsidR="008D4CC4" w:rsidRPr="0011117D">
              <w:rPr>
                <w:rStyle w:val="Hyperlink"/>
                <w:rFonts w:ascii="Tahoma" w:hAnsi="Tahoma" w:cs="Tahoma"/>
                <w:noProof/>
                <w:lang w:val="es-ES"/>
              </w:rPr>
              <w:t>Amenazas</w:t>
            </w:r>
            <w:r w:rsidR="008D4CC4">
              <w:rPr>
                <w:noProof/>
                <w:webHidden/>
              </w:rPr>
              <w:tab/>
            </w:r>
            <w:r w:rsidR="008D4CC4">
              <w:rPr>
                <w:noProof/>
                <w:webHidden/>
              </w:rPr>
              <w:fldChar w:fldCharType="begin"/>
            </w:r>
            <w:r w:rsidR="008D4CC4">
              <w:rPr>
                <w:noProof/>
                <w:webHidden/>
              </w:rPr>
              <w:instrText xml:space="preserve"> PAGEREF _Toc520556951 \h </w:instrText>
            </w:r>
            <w:r w:rsidR="008D4CC4">
              <w:rPr>
                <w:noProof/>
                <w:webHidden/>
              </w:rPr>
            </w:r>
            <w:r w:rsidR="008D4CC4">
              <w:rPr>
                <w:noProof/>
                <w:webHidden/>
              </w:rPr>
              <w:fldChar w:fldCharType="separate"/>
            </w:r>
            <w:r w:rsidR="008D4CC4">
              <w:rPr>
                <w:noProof/>
                <w:webHidden/>
              </w:rPr>
              <w:t>50</w:t>
            </w:r>
            <w:r w:rsidR="008D4CC4">
              <w:rPr>
                <w:noProof/>
                <w:webHidden/>
              </w:rPr>
              <w:fldChar w:fldCharType="end"/>
            </w:r>
          </w:hyperlink>
        </w:p>
        <w:p w:rsidR="008D4CC4" w:rsidRDefault="00037426">
          <w:pPr>
            <w:pStyle w:val="TOC2"/>
            <w:tabs>
              <w:tab w:val="right" w:leader="dot" w:pos="8828"/>
            </w:tabs>
            <w:rPr>
              <w:rFonts w:eastAsiaTheme="minorEastAsia"/>
              <w:noProof/>
              <w:lang w:eastAsia="es-MX"/>
            </w:rPr>
          </w:pPr>
          <w:hyperlink w:anchor="_Toc520556952" w:history="1">
            <w:r w:rsidR="008D4CC4" w:rsidRPr="0011117D">
              <w:rPr>
                <w:rStyle w:val="Hyperlink"/>
                <w:noProof/>
                <w:lang w:val="es-ES"/>
              </w:rPr>
              <w:t>Recomendaciones</w:t>
            </w:r>
            <w:r w:rsidR="008D4CC4">
              <w:rPr>
                <w:noProof/>
                <w:webHidden/>
              </w:rPr>
              <w:tab/>
            </w:r>
            <w:r w:rsidR="008D4CC4">
              <w:rPr>
                <w:noProof/>
                <w:webHidden/>
              </w:rPr>
              <w:fldChar w:fldCharType="begin"/>
            </w:r>
            <w:r w:rsidR="008D4CC4">
              <w:rPr>
                <w:noProof/>
                <w:webHidden/>
              </w:rPr>
              <w:instrText xml:space="preserve"> PAGEREF _Toc520556952 \h </w:instrText>
            </w:r>
            <w:r w:rsidR="008D4CC4">
              <w:rPr>
                <w:noProof/>
                <w:webHidden/>
              </w:rPr>
            </w:r>
            <w:r w:rsidR="008D4CC4">
              <w:rPr>
                <w:noProof/>
                <w:webHidden/>
              </w:rPr>
              <w:fldChar w:fldCharType="separate"/>
            </w:r>
            <w:r w:rsidR="008D4CC4">
              <w:rPr>
                <w:noProof/>
                <w:webHidden/>
              </w:rPr>
              <w:t>52</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53" w:history="1">
            <w:r w:rsidR="008D4CC4" w:rsidRPr="0011117D">
              <w:rPr>
                <w:rStyle w:val="Hyperlink"/>
                <w:rFonts w:ascii="Maiandra GD" w:hAnsi="Maiandra GD"/>
                <w:noProof/>
                <w:lang w:val="es-ES" w:eastAsia="es-MX"/>
              </w:rPr>
              <w:t>FUENTES DE INFORMACIÓN</w:t>
            </w:r>
            <w:r w:rsidR="008D4CC4">
              <w:rPr>
                <w:noProof/>
                <w:webHidden/>
              </w:rPr>
              <w:tab/>
            </w:r>
            <w:r w:rsidR="008D4CC4">
              <w:rPr>
                <w:noProof/>
                <w:webHidden/>
              </w:rPr>
              <w:fldChar w:fldCharType="begin"/>
            </w:r>
            <w:r w:rsidR="008D4CC4">
              <w:rPr>
                <w:noProof/>
                <w:webHidden/>
              </w:rPr>
              <w:instrText xml:space="preserve"> PAGEREF _Toc520556953 \h </w:instrText>
            </w:r>
            <w:r w:rsidR="008D4CC4">
              <w:rPr>
                <w:noProof/>
                <w:webHidden/>
              </w:rPr>
            </w:r>
            <w:r w:rsidR="008D4CC4">
              <w:rPr>
                <w:noProof/>
                <w:webHidden/>
              </w:rPr>
              <w:fldChar w:fldCharType="separate"/>
            </w:r>
            <w:r w:rsidR="008D4CC4">
              <w:rPr>
                <w:noProof/>
                <w:webHidden/>
              </w:rPr>
              <w:t>56</w:t>
            </w:r>
            <w:r w:rsidR="008D4CC4">
              <w:rPr>
                <w:noProof/>
                <w:webHidden/>
              </w:rPr>
              <w:fldChar w:fldCharType="end"/>
            </w:r>
          </w:hyperlink>
        </w:p>
        <w:p w:rsidR="008D4CC4" w:rsidRDefault="00037426">
          <w:pPr>
            <w:pStyle w:val="TOC1"/>
            <w:tabs>
              <w:tab w:val="right" w:leader="dot" w:pos="8828"/>
            </w:tabs>
            <w:rPr>
              <w:rFonts w:eastAsiaTheme="minorEastAsia"/>
              <w:noProof/>
              <w:lang w:eastAsia="es-MX"/>
            </w:rPr>
          </w:pPr>
          <w:hyperlink w:anchor="_Toc520556954" w:history="1">
            <w:r w:rsidR="008D4CC4" w:rsidRPr="0011117D">
              <w:rPr>
                <w:rStyle w:val="Hyperlink"/>
                <w:noProof/>
              </w:rPr>
              <w:t>ANEXO 1 PAE 2018</w:t>
            </w:r>
            <w:r w:rsidR="008D4CC4">
              <w:rPr>
                <w:noProof/>
                <w:webHidden/>
              </w:rPr>
              <w:tab/>
            </w:r>
            <w:r w:rsidR="008D4CC4">
              <w:rPr>
                <w:noProof/>
                <w:webHidden/>
              </w:rPr>
              <w:fldChar w:fldCharType="begin"/>
            </w:r>
            <w:r w:rsidR="008D4CC4">
              <w:rPr>
                <w:noProof/>
                <w:webHidden/>
              </w:rPr>
              <w:instrText xml:space="preserve"> PAGEREF _Toc520556954 \h </w:instrText>
            </w:r>
            <w:r w:rsidR="008D4CC4">
              <w:rPr>
                <w:noProof/>
                <w:webHidden/>
              </w:rPr>
            </w:r>
            <w:r w:rsidR="008D4CC4">
              <w:rPr>
                <w:noProof/>
                <w:webHidden/>
              </w:rPr>
              <w:fldChar w:fldCharType="separate"/>
            </w:r>
            <w:r w:rsidR="008D4CC4">
              <w:rPr>
                <w:noProof/>
                <w:webHidden/>
              </w:rPr>
              <w:t>61</w:t>
            </w:r>
            <w:r w:rsidR="008D4CC4">
              <w:rPr>
                <w:noProof/>
                <w:webHidden/>
              </w:rPr>
              <w:fldChar w:fldCharType="end"/>
            </w:r>
          </w:hyperlink>
        </w:p>
        <w:p w:rsidR="0042277A" w:rsidRPr="00132BE3" w:rsidRDefault="0042277A" w:rsidP="00132BE3">
          <w:pPr>
            <w:pStyle w:val="TOC1"/>
            <w:tabs>
              <w:tab w:val="right" w:leader="dot" w:pos="8828"/>
            </w:tabs>
            <w:rPr>
              <w:rFonts w:ascii="Maiandra GD" w:hAnsi="Maiandra GD"/>
              <w:sz w:val="23"/>
              <w:szCs w:val="23"/>
            </w:rPr>
          </w:pPr>
          <w:r w:rsidRPr="00132BE3">
            <w:rPr>
              <w:rFonts w:ascii="Maiandra GD" w:hAnsi="Maiandra GD"/>
              <w:b/>
              <w:bCs/>
              <w:sz w:val="23"/>
              <w:szCs w:val="23"/>
              <w:lang w:val="es-ES"/>
            </w:rPr>
            <w:fldChar w:fldCharType="end"/>
          </w:r>
        </w:p>
      </w:sdtContent>
    </w:sdt>
    <w:p w:rsidR="00137C5E" w:rsidRPr="00132BE3" w:rsidRDefault="00137C5E" w:rsidP="00573B70">
      <w:pPr>
        <w:rPr>
          <w:rFonts w:ascii="Maiandra GD" w:hAnsi="Maiandra GD"/>
          <w:sz w:val="23"/>
          <w:szCs w:val="23"/>
        </w:rPr>
      </w:pPr>
      <w:r w:rsidRPr="00132BE3">
        <w:rPr>
          <w:rFonts w:ascii="Maiandra GD" w:hAnsi="Maiandra GD"/>
          <w:sz w:val="23"/>
          <w:szCs w:val="23"/>
        </w:rPr>
        <w:br w:type="page"/>
      </w:r>
    </w:p>
    <w:p w:rsidR="000825F1" w:rsidRDefault="000825F1" w:rsidP="00573B70"/>
    <w:p w:rsidR="00FD1807" w:rsidRPr="00807941" w:rsidRDefault="00FD1807" w:rsidP="00531EF9">
      <w:pPr>
        <w:pStyle w:val="Heading1"/>
        <w:spacing w:before="0" w:after="480" w:line="240" w:lineRule="auto"/>
        <w:rPr>
          <w:rFonts w:ascii="Maiandra GD" w:hAnsi="Maiandra GD"/>
          <w:color w:val="632423" w:themeColor="accent2" w:themeShade="80"/>
          <w:sz w:val="32"/>
          <w:szCs w:val="32"/>
        </w:rPr>
      </w:pPr>
      <w:bookmarkStart w:id="3" w:name="_Toc520556932"/>
      <w:r w:rsidRPr="00807941">
        <w:rPr>
          <w:rFonts w:ascii="Maiandra GD" w:hAnsi="Maiandra GD"/>
          <w:color w:val="632423" w:themeColor="accent2" w:themeShade="80"/>
          <w:sz w:val="32"/>
          <w:szCs w:val="32"/>
        </w:rPr>
        <w:t>INTRODUCCIÓN</w:t>
      </w:r>
      <w:bookmarkEnd w:id="3"/>
    </w:p>
    <w:p w:rsidR="009B7305" w:rsidRPr="00345BFD" w:rsidRDefault="00FD1807" w:rsidP="00531EF9">
      <w:pPr>
        <w:spacing w:after="480" w:line="480" w:lineRule="auto"/>
        <w:jc w:val="both"/>
        <w:rPr>
          <w:rFonts w:ascii="Tahoma" w:hAnsi="Tahoma" w:cs="Tahoma"/>
          <w:sz w:val="24"/>
          <w:szCs w:val="24"/>
        </w:rPr>
      </w:pPr>
      <w:r w:rsidRPr="00345BFD">
        <w:rPr>
          <w:rFonts w:ascii="Tahoma" w:hAnsi="Tahoma" w:cs="Tahoma"/>
          <w:sz w:val="24"/>
          <w:szCs w:val="24"/>
        </w:rPr>
        <w:t>El Gasto Federalizado son las transferencias que realiza la Federación a los gobiernos locales, las cuales</w:t>
      </w:r>
      <w:r w:rsidR="009B7305" w:rsidRPr="00345BFD">
        <w:rPr>
          <w:rFonts w:ascii="Tahoma" w:hAnsi="Tahoma" w:cs="Tahoma"/>
          <w:sz w:val="24"/>
          <w:szCs w:val="24"/>
        </w:rPr>
        <w:t xml:space="preserve"> representan su principal fuente de financiamiento para el cumplimiento de sus obligaciones de gasto y se compone de: a) Ramo 28 Participaciones de los estados, municipios y Distrito Federal en ingresos federales (Participaciones Federales); b) Ramo 33 Aportaciones Federales y Ramo 25 Previsiones y Aportaciones para los Sistemas de Educación Básica, Normal, Tecnológica y de Adultos; c) Ramo 23 Provisiones Salariales y Económicas (Programas del gasto federalizado); d) Gasto transferido mediante convenios con las dependencias del Gobierno Federal; y  e) Recursos para Protección Social en Salud del programa Seguro Popular.</w:t>
      </w:r>
    </w:p>
    <w:p w:rsidR="003568B2" w:rsidRPr="00345BFD" w:rsidRDefault="009B7305" w:rsidP="00531EF9">
      <w:pPr>
        <w:spacing w:after="480" w:line="480" w:lineRule="auto"/>
        <w:jc w:val="both"/>
        <w:rPr>
          <w:rFonts w:ascii="Tahoma" w:hAnsi="Tahoma" w:cs="Tahoma"/>
          <w:sz w:val="24"/>
          <w:szCs w:val="24"/>
        </w:rPr>
      </w:pPr>
      <w:r w:rsidRPr="00345BFD">
        <w:rPr>
          <w:rFonts w:ascii="Tahoma" w:hAnsi="Tahoma" w:cs="Tahoma"/>
          <w:sz w:val="24"/>
          <w:szCs w:val="24"/>
        </w:rPr>
        <w:t>Su objetivo es fortalecer</w:t>
      </w:r>
      <w:r w:rsidR="003568B2" w:rsidRPr="00345BFD">
        <w:rPr>
          <w:rFonts w:ascii="Tahoma" w:hAnsi="Tahoma" w:cs="Tahoma"/>
          <w:sz w:val="24"/>
          <w:szCs w:val="24"/>
        </w:rPr>
        <w:t xml:space="preserve"> la capacidad de respuesta de los gobiernos locales y municipales, en el ejercicio de los recursos que les permita elevar la eficiencia y eficacia en la atención de las demandas de educación, salud, infraestructura básica, fortalecimiento financiero y seguridad pública, programas alimenticios y de asistencia social e infraestructura educativa que les plantea su población, así como el fortalecer los presupuestos de las entidades federativas y a las regiones que conforman, dando cumplimiento a lo establecido en el capítulo V de la Ley de Coordinación Fiscal.</w:t>
      </w:r>
    </w:p>
    <w:p w:rsidR="009B7305" w:rsidRPr="00345BFD" w:rsidRDefault="009B7305" w:rsidP="00531EF9">
      <w:pPr>
        <w:spacing w:after="480" w:line="480" w:lineRule="auto"/>
        <w:jc w:val="both"/>
        <w:rPr>
          <w:rFonts w:ascii="Tahoma" w:hAnsi="Tahoma" w:cs="Tahoma"/>
          <w:sz w:val="24"/>
          <w:szCs w:val="24"/>
        </w:rPr>
      </w:pPr>
      <w:r w:rsidRPr="00345BFD">
        <w:rPr>
          <w:rFonts w:ascii="Tahoma" w:hAnsi="Tahoma" w:cs="Tahoma"/>
          <w:sz w:val="24"/>
          <w:szCs w:val="24"/>
        </w:rPr>
        <w:t>El Ramo General 28 Participaciones a Entidades Federativas y Municipios, transfiere los recursos correspondientes a las participaciones en ingresos federales e incentivos económicos a las entidades federativas y a los municipios, de acuerdo con la Ley de Coordinación Fiscal y los Convenios de Adhesión al Sistema Nacional de Coordinación Fiscal y sus anexos, así como de conformidad con los Convenios de Colaboración Administrativa en Materia Fiscal Federal y sus anexos. La reforma a la Ley de Coordinación Fiscal aprobada en 2013 impulsa el fortalecimiento de las haciendas públicas de las entidades federativas y de los municipios, principalmente mediante la modificación de la fórmula de distribución del Fondo de Fomento Municipal y la sustitución del Fondo de Fiscalización por el Fondo de Fiscalización y Recaudación.</w:t>
      </w:r>
    </w:p>
    <w:p w:rsidR="00A9166E" w:rsidRPr="00345BFD" w:rsidRDefault="009B7305" w:rsidP="00531EF9">
      <w:pPr>
        <w:spacing w:after="480" w:line="480" w:lineRule="auto"/>
        <w:jc w:val="both"/>
        <w:rPr>
          <w:rFonts w:ascii="Tahoma" w:hAnsi="Tahoma" w:cs="Tahoma"/>
          <w:sz w:val="24"/>
          <w:szCs w:val="24"/>
        </w:rPr>
      </w:pPr>
      <w:r w:rsidRPr="00345BFD">
        <w:rPr>
          <w:rFonts w:ascii="Tahoma" w:hAnsi="Tahoma" w:cs="Tahoma"/>
          <w:sz w:val="24"/>
          <w:szCs w:val="24"/>
        </w:rPr>
        <w:t>En el primer caso, se incentiva la recaudación coordinada del Impuesto Predial con la finalidad de incrementar la eficacia en el cobro mismo permitiendo con ello los siguientes beneficios:</w:t>
      </w:r>
    </w:p>
    <w:p w:rsidR="009B7305" w:rsidRPr="00345BFD" w:rsidRDefault="00101463" w:rsidP="00704976">
      <w:pPr>
        <w:pStyle w:val="ListParagraph"/>
        <w:numPr>
          <w:ilvl w:val="0"/>
          <w:numId w:val="5"/>
        </w:numPr>
        <w:spacing w:after="480" w:line="480" w:lineRule="auto"/>
        <w:ind w:left="1429"/>
        <w:contextualSpacing/>
        <w:jc w:val="both"/>
        <w:rPr>
          <w:rFonts w:ascii="Tahoma" w:hAnsi="Tahoma" w:cs="Tahoma"/>
          <w:szCs w:val="24"/>
        </w:rPr>
      </w:pPr>
      <w:r w:rsidRPr="00345BFD">
        <w:rPr>
          <w:rFonts w:ascii="Tahoma" w:hAnsi="Tahoma" w:cs="Tahoma"/>
          <w:szCs w:val="24"/>
        </w:rPr>
        <w:t>M</w:t>
      </w:r>
      <w:r w:rsidR="009B7305" w:rsidRPr="00345BFD">
        <w:rPr>
          <w:rFonts w:ascii="Tahoma" w:hAnsi="Tahoma" w:cs="Tahoma"/>
          <w:szCs w:val="24"/>
        </w:rPr>
        <w:t xml:space="preserve">ayores ingresos propios para los municipios, </w:t>
      </w:r>
    </w:p>
    <w:p w:rsidR="00101463" w:rsidRPr="00345BFD" w:rsidRDefault="00101463" w:rsidP="00704976">
      <w:pPr>
        <w:pStyle w:val="ListParagraph"/>
        <w:numPr>
          <w:ilvl w:val="0"/>
          <w:numId w:val="5"/>
        </w:numPr>
        <w:spacing w:after="480" w:line="480" w:lineRule="auto"/>
        <w:ind w:left="1429"/>
        <w:contextualSpacing/>
        <w:jc w:val="both"/>
        <w:rPr>
          <w:rFonts w:ascii="Tahoma" w:hAnsi="Tahoma" w:cs="Tahoma"/>
          <w:szCs w:val="24"/>
        </w:rPr>
      </w:pPr>
      <w:r w:rsidRPr="00345BFD">
        <w:rPr>
          <w:rFonts w:ascii="Tahoma" w:hAnsi="Tahoma" w:cs="Tahoma"/>
          <w:szCs w:val="24"/>
        </w:rPr>
        <w:t>M</w:t>
      </w:r>
      <w:r w:rsidR="009B7305" w:rsidRPr="00345BFD">
        <w:rPr>
          <w:rFonts w:ascii="Tahoma" w:hAnsi="Tahoma" w:cs="Tahoma"/>
          <w:szCs w:val="24"/>
        </w:rPr>
        <w:t xml:space="preserve">ás ingresos derivados del Fondo de Fomento Municipal, </w:t>
      </w:r>
    </w:p>
    <w:p w:rsidR="00101463" w:rsidRPr="00345BFD" w:rsidRDefault="00101463" w:rsidP="00704976">
      <w:pPr>
        <w:pStyle w:val="ListParagraph"/>
        <w:numPr>
          <w:ilvl w:val="0"/>
          <w:numId w:val="5"/>
        </w:numPr>
        <w:spacing w:after="480" w:line="480" w:lineRule="auto"/>
        <w:ind w:left="1429"/>
        <w:contextualSpacing/>
        <w:jc w:val="both"/>
        <w:rPr>
          <w:rFonts w:ascii="Tahoma" w:hAnsi="Tahoma" w:cs="Tahoma"/>
          <w:szCs w:val="24"/>
        </w:rPr>
      </w:pPr>
      <w:r w:rsidRPr="00345BFD">
        <w:rPr>
          <w:rFonts w:ascii="Tahoma" w:hAnsi="Tahoma" w:cs="Tahoma"/>
          <w:szCs w:val="24"/>
        </w:rPr>
        <w:t>U</w:t>
      </w:r>
      <w:r w:rsidR="009B7305" w:rsidRPr="00345BFD">
        <w:rPr>
          <w:rFonts w:ascii="Tahoma" w:hAnsi="Tahoma" w:cs="Tahoma"/>
          <w:szCs w:val="24"/>
        </w:rPr>
        <w:t>na participación más elevada de los recursos del Fondo General de Participaciones, como consecuencia del incremento en la recaudación y</w:t>
      </w:r>
    </w:p>
    <w:p w:rsidR="00101463" w:rsidRPr="00345BFD" w:rsidRDefault="00101463" w:rsidP="00704976">
      <w:pPr>
        <w:pStyle w:val="ListParagraph"/>
        <w:numPr>
          <w:ilvl w:val="0"/>
          <w:numId w:val="5"/>
        </w:numPr>
        <w:spacing w:after="480" w:line="480" w:lineRule="auto"/>
        <w:ind w:left="1429"/>
        <w:contextualSpacing/>
        <w:jc w:val="both"/>
        <w:rPr>
          <w:rFonts w:ascii="Tahoma" w:hAnsi="Tahoma" w:cs="Tahoma"/>
          <w:szCs w:val="24"/>
        </w:rPr>
      </w:pPr>
      <w:r w:rsidRPr="00345BFD">
        <w:rPr>
          <w:rFonts w:ascii="Tahoma" w:hAnsi="Tahoma" w:cs="Tahoma"/>
          <w:szCs w:val="24"/>
        </w:rPr>
        <w:t>M</w:t>
      </w:r>
      <w:r w:rsidR="009B7305" w:rsidRPr="00345BFD">
        <w:rPr>
          <w:rFonts w:ascii="Tahoma" w:hAnsi="Tahoma" w:cs="Tahoma"/>
          <w:szCs w:val="24"/>
        </w:rPr>
        <w:t xml:space="preserve">enores costos de administración el impuesto. </w:t>
      </w:r>
    </w:p>
    <w:p w:rsidR="009B7305" w:rsidRPr="00345BFD" w:rsidRDefault="009B7305" w:rsidP="00531EF9">
      <w:pPr>
        <w:spacing w:after="480" w:line="480" w:lineRule="auto"/>
        <w:jc w:val="both"/>
        <w:rPr>
          <w:rFonts w:ascii="Tahoma" w:hAnsi="Tahoma" w:cs="Tahoma"/>
          <w:sz w:val="24"/>
          <w:szCs w:val="24"/>
        </w:rPr>
      </w:pPr>
      <w:r w:rsidRPr="00345BFD">
        <w:rPr>
          <w:rFonts w:ascii="Tahoma" w:hAnsi="Tahoma" w:cs="Tahoma"/>
          <w:sz w:val="24"/>
          <w:szCs w:val="24"/>
        </w:rPr>
        <w:t>En el segundo caso, se incorporan las variables de "ingresos de libre disposición" y "recaudación de impuestos y derechos locales" para incentivar también la recaudación de los mismos y fortalecer con ello las haciendas públicas locales.</w:t>
      </w:r>
    </w:p>
    <w:p w:rsidR="00101463" w:rsidRPr="00345BFD" w:rsidRDefault="00A9166E" w:rsidP="00531EF9">
      <w:pPr>
        <w:spacing w:after="480" w:line="480" w:lineRule="auto"/>
        <w:jc w:val="both"/>
        <w:rPr>
          <w:rFonts w:ascii="Tahoma" w:hAnsi="Tahoma" w:cs="Tahoma"/>
          <w:sz w:val="24"/>
          <w:szCs w:val="24"/>
        </w:rPr>
      </w:pPr>
      <w:r w:rsidRPr="00345BFD">
        <w:rPr>
          <w:rFonts w:ascii="Tahoma" w:hAnsi="Tahoma" w:cs="Tahoma"/>
          <w:sz w:val="24"/>
          <w:szCs w:val="24"/>
        </w:rPr>
        <w:t>Respecto a los</w:t>
      </w:r>
      <w:r w:rsidR="00101463" w:rsidRPr="00345BFD">
        <w:rPr>
          <w:rFonts w:ascii="Tahoma" w:hAnsi="Tahoma" w:cs="Tahoma"/>
          <w:sz w:val="24"/>
          <w:szCs w:val="24"/>
        </w:rPr>
        <w:t xml:space="preserve"> fondos de </w:t>
      </w:r>
      <w:r w:rsidR="00531EF9" w:rsidRPr="00345BFD">
        <w:rPr>
          <w:rFonts w:ascii="Tahoma" w:hAnsi="Tahoma" w:cs="Tahoma"/>
          <w:sz w:val="24"/>
          <w:szCs w:val="24"/>
        </w:rPr>
        <w:t>participaciones del</w:t>
      </w:r>
      <w:r w:rsidR="00101463" w:rsidRPr="00345BFD">
        <w:rPr>
          <w:rFonts w:ascii="Tahoma" w:hAnsi="Tahoma" w:cs="Tahoma"/>
          <w:sz w:val="24"/>
          <w:szCs w:val="24"/>
        </w:rPr>
        <w:t xml:space="preserve"> Ramo 28, s</w:t>
      </w:r>
      <w:r w:rsidRPr="00345BFD">
        <w:rPr>
          <w:rFonts w:ascii="Tahoma" w:hAnsi="Tahoma" w:cs="Tahoma"/>
          <w:sz w:val="24"/>
          <w:szCs w:val="24"/>
        </w:rPr>
        <w:t>e enumeran</w:t>
      </w:r>
      <w:r w:rsidR="00101463" w:rsidRPr="00345BFD">
        <w:rPr>
          <w:rFonts w:ascii="Tahoma" w:hAnsi="Tahoma" w:cs="Tahoma"/>
          <w:sz w:val="24"/>
          <w:szCs w:val="24"/>
        </w:rPr>
        <w:t xml:space="preserve"> los siguientes: </w:t>
      </w:r>
    </w:p>
    <w:p w:rsidR="00101463"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1) Fondo General de Participaciones</w:t>
      </w:r>
      <w:r w:rsidRPr="00345BFD">
        <w:rPr>
          <w:rFonts w:ascii="Tahoma" w:hAnsi="Tahoma" w:cs="Tahoma"/>
          <w:sz w:val="24"/>
          <w:szCs w:val="24"/>
        </w:rPr>
        <w:t xml:space="preserve">, que se constituye con el 20 por ciento de la RFP y se distribuye mediante la fórmula establecida en el artículo 2o de la Ley de Coordinación Fiscal, atendiendo a criterios de contribución económica y recaudatorios, ponderados por población. </w:t>
      </w:r>
    </w:p>
    <w:p w:rsidR="00101463"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2) Fondo de Fomento Municipal</w:t>
      </w:r>
      <w:r w:rsidRPr="00345BFD">
        <w:rPr>
          <w:rFonts w:ascii="Tahoma" w:hAnsi="Tahoma" w:cs="Tahoma"/>
          <w:sz w:val="24"/>
          <w:szCs w:val="24"/>
        </w:rPr>
        <w:t>, integrado con el uno por ciento de la Recaudación Federal Participable (RFP), y se distribuye conforme a la fórmula establecida en el artículo 2°-</w:t>
      </w:r>
      <w:r w:rsidR="00252C0F" w:rsidRPr="00345BFD">
        <w:rPr>
          <w:rFonts w:ascii="Tahoma" w:hAnsi="Tahoma" w:cs="Tahoma"/>
          <w:sz w:val="24"/>
          <w:szCs w:val="24"/>
        </w:rPr>
        <w:t>A de</w:t>
      </w:r>
      <w:r w:rsidRPr="00345BFD">
        <w:rPr>
          <w:rFonts w:ascii="Tahoma" w:hAnsi="Tahoma" w:cs="Tahoma"/>
          <w:sz w:val="24"/>
          <w:szCs w:val="24"/>
        </w:rPr>
        <w:t xml:space="preserve"> la Ley de Coordinación Fiscal, mediante la cual se incentiva la recaudación local, así como la coordinación entre los municipios y el gobierno estatal para la administración del impuesto predial por parte de este último, con el objetivo de incrementar la recaudación por dicho tributo. </w:t>
      </w:r>
    </w:p>
    <w:p w:rsidR="00101463"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3) Impuesto Especial sobre Producción y Servicios</w:t>
      </w:r>
      <w:r w:rsidRPr="00345BFD">
        <w:rPr>
          <w:rFonts w:ascii="Tahoma" w:hAnsi="Tahoma" w:cs="Tahoma"/>
          <w:sz w:val="24"/>
          <w:szCs w:val="24"/>
        </w:rPr>
        <w:t xml:space="preserve">, en el que las entidades federativas participan del 20 por ciento de la recaudación que se obtenga por la realización de los actos o actividades gravados con dicho impuesto en el caso de cerveza, bebidas refrescantes, alcohol, bebidas alcohólicas fermentadas y bebidas alcohólicas y del 8 por ciento de la recaudación en el caso de tabacos labrados. </w:t>
      </w:r>
    </w:p>
    <w:p w:rsidR="00101463"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4) Fondo de Fiscalización y Recaudación</w:t>
      </w:r>
      <w:r w:rsidRPr="00345BFD">
        <w:rPr>
          <w:rFonts w:ascii="Tahoma" w:hAnsi="Tahoma" w:cs="Tahoma"/>
          <w:sz w:val="24"/>
          <w:szCs w:val="24"/>
        </w:rPr>
        <w:t xml:space="preserve">, que se integra con el 1.25 por ciento de la RFP, el cual premia e incentiva las labores de fiscalización que realizan las entidades federativas y considera dos indicadores de recaudación: eficiencia recaudatoria y fortaleza recaudatoria, medidos de acuerdo con el incremento en el cobro de los impuestos y derechos locales (incluido el impuesto predial y los derechos por suministro de agua), y la participación de los ingresos propios sobre los ingresos de libre disposición, respectivamente. </w:t>
      </w:r>
    </w:p>
    <w:p w:rsidR="00101463"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5) Fondo de Compensación</w:t>
      </w:r>
      <w:r w:rsidRPr="00345BFD">
        <w:rPr>
          <w:rFonts w:ascii="Tahoma" w:hAnsi="Tahoma" w:cs="Tahoma"/>
          <w:sz w:val="24"/>
          <w:szCs w:val="24"/>
        </w:rPr>
        <w:t xml:space="preserve">, mediante el cual se distribuyen 2/11 de la recaudación derivada de las cuotas aplicadas a la venta final de gasolina y diésel, de acuerdo con lo establecido en el artículo 2°-A, fracción II, de la Ley del Impuesto Especial sobre Producción y Servicios. Dichos recursos se distribuyen entre las 10 entidades federativas que, de acuerdo con la última información oficial del Instituto Nacional de Estadística y Geografía (INEGI), tengan los menores niveles de Producto Interno Bruto per cápita no minero y no petrolero. </w:t>
      </w:r>
    </w:p>
    <w:p w:rsidR="00101463"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6) 9/11 de la recaudación por concepto de las cuotas establecidas en el artículo 2°-A, fracción II, de la Ley del Impuesto Especial sobre Producción y Servicios</w:t>
      </w:r>
      <w:r w:rsidRPr="00345BFD">
        <w:rPr>
          <w:rFonts w:ascii="Tahoma" w:hAnsi="Tahoma" w:cs="Tahoma"/>
          <w:sz w:val="24"/>
          <w:szCs w:val="24"/>
        </w:rPr>
        <w:t xml:space="preserve">, que corresponderá a las entidades federativas adheridas al Sistema Nacional de Coordinación Fiscal, en función del consumo efectuado en su territorio, de acuerdo con la información que Petróleos Mexicanos y los demás permisionarios para el expendio al público y la distribución de gasolinas y diésel, proporcionen a la Secretaría de Hacienda y Crédito Público. </w:t>
      </w:r>
    </w:p>
    <w:p w:rsidR="00101463"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7) Fondo de Extracción de Hidrocarburos</w:t>
      </w:r>
      <w:r w:rsidRPr="00345BFD">
        <w:rPr>
          <w:rFonts w:ascii="Tahoma" w:hAnsi="Tahoma" w:cs="Tahoma"/>
          <w:sz w:val="24"/>
          <w:szCs w:val="24"/>
        </w:rPr>
        <w:t xml:space="preserve">, a partir de 2015 estará conformado por los recursos que le transfiera el Fondo Mexicano del Petróleo para la Estabilización y el Desarrollo, en términos del artículo 91 de la Ley Federal de Presupuesto y Responsabilidad Hacendaria. Se distribuye entre las entidades federativas que formen parte de la clasificación de extracción de petróleo y gas definida en el último censo económico realizado por el Instituto Nacional Estadística Geografía e Informática. Para el ejercicio fiscal de 2017, el factor de transferencia será del 0.0082 del Fondo Mexicano del Petróleo para la Estabilización y el Desarrollo. </w:t>
      </w:r>
    </w:p>
    <w:p w:rsidR="00DD3B6B"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8) Fondo de Compensación del Impuesto sobre Automóviles Nuevos</w:t>
      </w:r>
      <w:r w:rsidRPr="00345BFD">
        <w:rPr>
          <w:rFonts w:ascii="Tahoma" w:hAnsi="Tahoma" w:cs="Tahoma"/>
          <w:sz w:val="24"/>
          <w:szCs w:val="24"/>
        </w:rPr>
        <w:t xml:space="preserve">, creado a partir del ejercicio fiscal 2006, con el objetivo de resarcir a las entidades federativas la disminución de ingresos derivada de la ampliación de la exención de dicho impuesto. Las aportaciones para dicho Fondo, conforme al último párrafo del artículo 14 de la Ley Federal del Impuesto sobre Automóviles Nuevos, se determinan y actualizan anualmente en el respectivo Presupuesto de Egresos de la Federación. </w:t>
      </w:r>
    </w:p>
    <w:p w:rsidR="00101463"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9) 0.136 por ciento de la Recaudación Federal Participable</w:t>
      </w:r>
      <w:r w:rsidRPr="00345BFD">
        <w:rPr>
          <w:rFonts w:ascii="Tahoma" w:hAnsi="Tahoma" w:cs="Tahoma"/>
          <w:sz w:val="24"/>
          <w:szCs w:val="24"/>
        </w:rPr>
        <w:t>, que se entrega a los municipios colindantes con la frontera o los litorales por los que materialmente se realiza la entrada o la salida del país de los bienes que se importan o exportan, conforme a lo establecido en el artículo 2-A, fracción I, de la Ley de Coordinación Fiscal.</w:t>
      </w:r>
    </w:p>
    <w:p w:rsidR="00DD3B6B"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10) La transferencia del Fondo Mexicano del Petróleo para la Estabilización y el Desarrollo,</w:t>
      </w:r>
      <w:r w:rsidRPr="00345BFD">
        <w:rPr>
          <w:rFonts w:ascii="Tahoma" w:hAnsi="Tahoma" w:cs="Tahoma"/>
          <w:sz w:val="24"/>
          <w:szCs w:val="24"/>
        </w:rPr>
        <w:t xml:space="preserve"> destinada a los municipios colindantes con la frontera o litorales por los que se realice materialmente la salida del país de los hidrocarburos, misma que será el monto que resulte de multiplicar los ingresos petroleros aprobados en la Ley de Ingresos de 2017, por el factor de 0.00051, y se distribuirá conforme a lo establecido en el artículo 2-A, fracción II de la Ley de Coordinación Fiscal. </w:t>
      </w:r>
    </w:p>
    <w:p w:rsidR="00DD3B6B"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11) El Fondo de Compensación del Régimen de Pequeños Contribuyentes y del Régimen de Intermedios,</w:t>
      </w:r>
      <w:r w:rsidRPr="00345BFD">
        <w:rPr>
          <w:rFonts w:ascii="Tahoma" w:hAnsi="Tahoma" w:cs="Tahoma"/>
          <w:sz w:val="24"/>
          <w:szCs w:val="24"/>
        </w:rPr>
        <w:t xml:space="preserve"> se integrará, en los términos del Artículo Quinto Transitorio de la Ley de Ingresos de la Federación para el ejercicio fiscal de 2014 y Quinto Transitorio de la Ley de Ingresos de la Federación para el ejercicio fiscal de 2015, considerando la recaudación correspondiente a los regímenes de Pequeños Contribuyentes e Intermedios que, en el ejercicio fiscal 2013, las entidades federativas hayan reportado en la Cuenta Mensual Comprobada de Ingresos Coordinados. Se garantiza el 77.614% de los recursos del Régimen de Intermedios recaudado en 2013, actualizado por la inflación y una proporción decreciente (desde 100% en 2014 hasta 0% a partir de 2020) de la recaudación del Impuesto sobre la Renta del Régimen de Pequeños Contribuyentes de 2013, actualizado por la inflación, la proporción decreciente se determina por el estímulo establecido al Régimen de Incorporación Fiscal. </w:t>
      </w:r>
    </w:p>
    <w:p w:rsidR="00101463" w:rsidRPr="00345BFD" w:rsidRDefault="00101463" w:rsidP="00531EF9">
      <w:pPr>
        <w:spacing w:after="480" w:line="480" w:lineRule="auto"/>
        <w:ind w:left="1134" w:hanging="567"/>
        <w:jc w:val="both"/>
        <w:rPr>
          <w:rFonts w:ascii="Tahoma" w:hAnsi="Tahoma" w:cs="Tahoma"/>
          <w:sz w:val="24"/>
          <w:szCs w:val="24"/>
        </w:rPr>
      </w:pPr>
      <w:r w:rsidRPr="00345BFD">
        <w:rPr>
          <w:rFonts w:ascii="Tahoma" w:hAnsi="Tahoma" w:cs="Tahoma"/>
          <w:b/>
          <w:sz w:val="24"/>
          <w:szCs w:val="24"/>
        </w:rPr>
        <w:t>12) Conforme a lo establecido en el artículo 3-B de la Ley de Coordinación Fiscal</w:t>
      </w:r>
      <w:r w:rsidRPr="00345BFD">
        <w:rPr>
          <w:rFonts w:ascii="Tahoma" w:hAnsi="Tahoma" w:cs="Tahoma"/>
          <w:sz w:val="24"/>
          <w:szCs w:val="24"/>
        </w:rPr>
        <w:t xml:space="preserve">, se entregará a las entidades el 100% de la recaudación que se obtenga del </w:t>
      </w:r>
      <w:r w:rsidRPr="00345BFD">
        <w:rPr>
          <w:rFonts w:ascii="Tahoma" w:hAnsi="Tahoma" w:cs="Tahoma"/>
          <w:b/>
          <w:sz w:val="24"/>
          <w:szCs w:val="24"/>
        </w:rPr>
        <w:t>Impuesto sobre la Renta que efectivamente se entere a la Federación,</w:t>
      </w:r>
      <w:r w:rsidRPr="00345BFD">
        <w:rPr>
          <w:rFonts w:ascii="Tahoma" w:hAnsi="Tahoma" w:cs="Tahoma"/>
          <w:sz w:val="24"/>
          <w:szCs w:val="24"/>
        </w:rPr>
        <w:t xml:space="preserve"> correspondiente al salario del personal que preste o desempeñe un servicio personal subordinado en las dependencias de la entidad federativa, del municipio o demarcación territorial del Distrito Federal, así como en sus respectivos organismos autónomos y entidades paraestatales y paramunicipales, siempre que el salario sea efectivamente pagado por los entes mencionados con cargo a sus participaciones u otros ingresos locales. Se considerará la recaudación que se obtenga por el Impuesto sobre la Renta, una vez descontadas las devoluciones por dicho concepto.</w:t>
      </w:r>
    </w:p>
    <w:p w:rsidR="00A9166E" w:rsidRPr="00345BFD" w:rsidRDefault="00A9166E" w:rsidP="00531EF9">
      <w:pPr>
        <w:spacing w:after="480" w:line="480" w:lineRule="auto"/>
        <w:jc w:val="both"/>
        <w:rPr>
          <w:rFonts w:ascii="Tahoma" w:hAnsi="Tahoma" w:cs="Tahoma"/>
          <w:sz w:val="24"/>
          <w:szCs w:val="24"/>
        </w:rPr>
      </w:pPr>
      <w:r w:rsidRPr="00345BFD">
        <w:rPr>
          <w:rFonts w:ascii="Tahoma" w:hAnsi="Tahoma" w:cs="Tahoma"/>
          <w:sz w:val="24"/>
          <w:szCs w:val="24"/>
        </w:rPr>
        <w:t>Por otra parte, se cubren a las entidades federativas los incentivos económicos por el Impuesto sobre Automóviles Nuevos, además de otros incentivos relacionados con la fiscalización de diversos impuestos, la vigilancia de obligaciones, el derecho de la zona federal marítimo terrestre y las multas administrativas federales no fiscales, entre otros.</w:t>
      </w:r>
    </w:p>
    <w:p w:rsidR="00A9166E" w:rsidRDefault="00A9166E" w:rsidP="009B7305">
      <w:pPr>
        <w:spacing w:after="120" w:line="480" w:lineRule="auto"/>
        <w:jc w:val="both"/>
        <w:rPr>
          <w:rFonts w:cstheme="minorHAnsi"/>
          <w:sz w:val="24"/>
          <w:szCs w:val="24"/>
        </w:rPr>
      </w:pPr>
      <w:r>
        <w:rPr>
          <w:rFonts w:cstheme="minorHAnsi"/>
          <w:sz w:val="24"/>
          <w:szCs w:val="24"/>
        </w:rPr>
        <w:br w:type="page"/>
      </w:r>
    </w:p>
    <w:p w:rsidR="00DD3B6B" w:rsidRDefault="00DD3B6B" w:rsidP="009B7305">
      <w:pPr>
        <w:spacing w:after="120" w:line="480" w:lineRule="auto"/>
        <w:jc w:val="both"/>
        <w:rPr>
          <w:rFonts w:cstheme="minorHAnsi"/>
          <w:sz w:val="24"/>
          <w:szCs w:val="24"/>
        </w:rPr>
      </w:pPr>
    </w:p>
    <w:p w:rsidR="00DD3B6B" w:rsidRDefault="00DD3B6B" w:rsidP="009B7305">
      <w:pPr>
        <w:spacing w:after="120" w:line="480" w:lineRule="auto"/>
        <w:jc w:val="both"/>
        <w:rPr>
          <w:rFonts w:cstheme="minorHAnsi"/>
          <w:sz w:val="24"/>
          <w:szCs w:val="24"/>
        </w:rPr>
      </w:pPr>
    </w:p>
    <w:p w:rsidR="00DD3B6B" w:rsidRDefault="00DD3B6B" w:rsidP="009B7305">
      <w:pPr>
        <w:spacing w:after="120" w:line="480" w:lineRule="auto"/>
        <w:jc w:val="both"/>
        <w:rPr>
          <w:rFonts w:cstheme="minorHAnsi"/>
          <w:sz w:val="24"/>
          <w:szCs w:val="24"/>
        </w:rPr>
      </w:pPr>
    </w:p>
    <w:p w:rsidR="00DD3B6B" w:rsidRDefault="00DD3B6B" w:rsidP="009B7305">
      <w:pPr>
        <w:spacing w:after="120" w:line="480" w:lineRule="auto"/>
        <w:jc w:val="both"/>
        <w:rPr>
          <w:rFonts w:cstheme="minorHAnsi"/>
          <w:sz w:val="24"/>
          <w:szCs w:val="24"/>
        </w:rPr>
      </w:pPr>
    </w:p>
    <w:p w:rsidR="00DD3B6B" w:rsidRDefault="002B7819" w:rsidP="009B7305">
      <w:pPr>
        <w:spacing w:after="120" w:line="480" w:lineRule="auto"/>
        <w:jc w:val="both"/>
        <w:rPr>
          <w:rFonts w:cstheme="minorHAnsi"/>
          <w:sz w:val="24"/>
          <w:szCs w:val="24"/>
        </w:rPr>
      </w:pPr>
      <w:r>
        <w:rPr>
          <w:rFonts w:cstheme="minorHAnsi"/>
          <w:noProof/>
          <w:sz w:val="24"/>
          <w:szCs w:val="24"/>
          <w:lang w:val="en-US"/>
        </w:rPr>
        <w:drawing>
          <wp:anchor distT="0" distB="0" distL="114300" distR="114300" simplePos="0" relativeHeight="251687424" behindDoc="1" locked="0" layoutInCell="1" allowOverlap="1" wp14:anchorId="1CA406C3" wp14:editId="5BA42481">
            <wp:simplePos x="0" y="0"/>
            <wp:positionH relativeFrom="column">
              <wp:posOffset>2880801</wp:posOffset>
            </wp:positionH>
            <wp:positionV relativeFrom="paragraph">
              <wp:posOffset>111760</wp:posOffset>
            </wp:positionV>
            <wp:extent cx="2992120" cy="1682115"/>
            <wp:effectExtent l="171450" t="95250" r="360680" b="356235"/>
            <wp:wrapNone/>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_213501.jpg"/>
                    <pic:cNvPicPr/>
                  </pic:nvPicPr>
                  <pic:blipFill>
                    <a:blip r:embed="rId12" cstate="print">
                      <a:extLst>
                        <a:ext uri="{BEBA8EAE-BF5A-486C-A8C5-ECC9F3942E4B}">
                          <a14:imgProps xmlns:a14="http://schemas.microsoft.com/office/drawing/2010/main">
                            <a14:imgLayer r:embed="rId13">
                              <a14:imgEffect>
                                <a14:backgroundRemoval t="825" b="100000" l="0" r="100000"/>
                              </a14:imgEffect>
                            </a14:imgLayer>
                          </a14:imgProps>
                        </a:ext>
                        <a:ext uri="{28A0092B-C50C-407E-A947-70E740481C1C}">
                          <a14:useLocalDpi xmlns:a14="http://schemas.microsoft.com/office/drawing/2010/main" val="0"/>
                        </a:ext>
                      </a:extLst>
                    </a:blip>
                    <a:stretch>
                      <a:fillRect/>
                    </a:stretch>
                  </pic:blipFill>
                  <pic:spPr>
                    <a:xfrm>
                      <a:off x="0" y="0"/>
                      <a:ext cx="2992120" cy="16821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376" behindDoc="1" locked="0" layoutInCell="1" allowOverlap="1" wp14:anchorId="48CE8E46" wp14:editId="3734ED92">
            <wp:simplePos x="0" y="0"/>
            <wp:positionH relativeFrom="column">
              <wp:posOffset>-496811</wp:posOffset>
            </wp:positionH>
            <wp:positionV relativeFrom="paragraph">
              <wp:posOffset>304420</wp:posOffset>
            </wp:positionV>
            <wp:extent cx="6905297" cy="4617778"/>
            <wp:effectExtent l="0" t="0" r="0" b="0"/>
            <wp:wrapNone/>
            <wp:docPr id="45" name="Imagen 4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5691" cy="4618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B6B" w:rsidRDefault="00DD3B6B" w:rsidP="009B7305">
      <w:pPr>
        <w:spacing w:after="120" w:line="480" w:lineRule="auto"/>
        <w:jc w:val="both"/>
        <w:rPr>
          <w:rFonts w:cstheme="minorHAnsi"/>
          <w:sz w:val="24"/>
          <w:szCs w:val="24"/>
        </w:rPr>
      </w:pPr>
    </w:p>
    <w:p w:rsidR="00DD3B6B" w:rsidRDefault="00DD3B6B" w:rsidP="009B7305">
      <w:pPr>
        <w:spacing w:after="120" w:line="480" w:lineRule="auto"/>
        <w:jc w:val="both"/>
        <w:rPr>
          <w:color w:val="1D1B11" w:themeColor="background2" w:themeShade="1A"/>
        </w:rPr>
      </w:pPr>
      <w:r>
        <w:rPr>
          <w:noProof/>
          <w:color w:val="EEECE1" w:themeColor="background2"/>
          <w:lang w:val="en-US"/>
        </w:rPr>
        <mc:AlternateContent>
          <mc:Choice Requires="wps">
            <w:drawing>
              <wp:anchor distT="0" distB="0" distL="114300" distR="114300" simplePos="0" relativeHeight="251657728" behindDoc="0" locked="0" layoutInCell="1" allowOverlap="1" wp14:anchorId="048AC13A" wp14:editId="5A23709C">
                <wp:simplePos x="0" y="0"/>
                <wp:positionH relativeFrom="column">
                  <wp:posOffset>1176177</wp:posOffset>
                </wp:positionH>
                <wp:positionV relativeFrom="paragraph">
                  <wp:posOffset>343190</wp:posOffset>
                </wp:positionV>
                <wp:extent cx="4678548" cy="2458192"/>
                <wp:effectExtent l="0" t="0" r="27305" b="18415"/>
                <wp:wrapNone/>
                <wp:docPr id="6" name="6 Rectángulo redondeado"/>
                <wp:cNvGraphicFramePr/>
                <a:graphic xmlns:a="http://schemas.openxmlformats.org/drawingml/2006/main">
                  <a:graphicData uri="http://schemas.microsoft.com/office/word/2010/wordprocessingShape">
                    <wps:wsp>
                      <wps:cNvSpPr/>
                      <wps:spPr>
                        <a:xfrm>
                          <a:off x="0" y="0"/>
                          <a:ext cx="4678548" cy="2458192"/>
                        </a:xfrm>
                        <a:prstGeom prst="roundRect">
                          <a:avLst/>
                        </a:prstGeom>
                        <a:solidFill>
                          <a:srgbClr val="1E1E14"/>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1.</w:t>
                            </w:r>
                            <w:r w:rsidRPr="00DD3B6B">
                              <w:rPr>
                                <w:color w:val="FFFFFF" w:themeColor="background1"/>
                                <w:sz w:val="48"/>
                              </w:rPr>
                              <w:tab/>
                              <w:t>Datos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8AC13A" id="6 Rectángulo redondeado" o:spid="_x0000_s1029" style="position:absolute;left:0;text-align:left;margin-left:92.6pt;margin-top:27pt;width:368.4pt;height:19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mLpwIAAJIFAAAOAAAAZHJzL2Uyb0RvYy54bWysVNtu2zAMfR+wfxD0vjrJnLQN6hRBuw4D&#10;irVoO/RZkeXYgCxqlBI7+5t9y35slHxp0BV7GJYAsiSShxcd8uKyrTXbK3QVmIxPTyacKSMhr8w2&#10;49+ebj6ccea8MLnQYFTGD8rxy9X7dxeNXaoZlKBzhYxAjFs2NuOl93aZJE6WqhbuBKwyJCwAa+Hp&#10;iNskR9EQeq2T2WSySBrA3CJI5RzdXndCvor4RaGkvysKpzzTGafYfFwxrpuwJqsLsdyisGUl+zDE&#10;P0RRi8qQ0xHqWnjBdlj9AVVXEsFB4U8k1AkURSVVzIGymU5eZfNYCqtiLlQcZ8cyuf8HK7/u75FV&#10;ecYXnBlR0xMt2AOV7ddPs91pYKhyMLkSOYRaNdYtyeTR3mN/crQNibcF1uFLKbE21vcw1le1nkm6&#10;TBenZ/OUGCFJNkvnZ9PzWUBNXswtOv9ZQc3CJuMIO5OHcGJxxf7W+U5/0AsuHegqv6m0jgfcbq40&#10;sr2gF59+on/auzhSS0IeXeRx5w9aBWNtHlRB1aBYZ9Fj5KEa8YSUyvhpJypFrjo38wn9Bi+BucEi&#10;phUBA3JB4Y3YPcCg2YEM2F1+vX4wVZHGo/Hkb4F1xqNF9AzGj8Z1ZQDfAtCUVe+506fwj0oTtr7d&#10;tJEpH4NmuNlAfiD2IHRt5ay8qejZboXz9wKpj6jjaDb4O1oKDU3God9xVgL+eOs+6BO9ScpZQ32Z&#10;cfd9J1Bxpr8YIv75NE1DI8dDOj+d0QGPJZtjidnVVxCIQFPIyrgN+l4P2wKhfqYRsg5eSSSMJN8Z&#10;lx6Hw5Xv5gUNIanW66hGzWuFvzWPVgbwUOfAyKf2WaDtueuJ9l9h6GGxfMXeTjdYGljvPBRVpPZL&#10;XfsXoMaPVOqHVJgsx+eo9TJKV78BAAD//wMAUEsDBBQABgAIAAAAIQBcdpC/3gAAAAoBAAAPAAAA&#10;ZHJzL2Rvd25yZXYueG1sTI89T8MwEIZ3JP6DdUhs1ElIqjaNU0ElFiQGQsXsxiZJa5+D7abh33NM&#10;ZbtX9+j9qLazNWzSPgwOBaSLBJjG1qkBOwH7j5eHFbAQJSppHGoBPzrAtr69qWSp3AXf9dTEjpEJ&#10;hlIK6GMcS85D22srw8KNGun35byVkaTvuPLyQubW8CxJltzKASmhl6Pe9bo9NWcrYCmbt6Of1jue&#10;fe7No5++T8/FqxD3d/PTBljUc7zC8FefqkNNnQ7ujCowQ3pVZIQKKHLaRMA6y+g4CMjzNAVeV/z/&#10;hPoXAAD//wMAUEsBAi0AFAAGAAgAAAAhALaDOJL+AAAA4QEAABMAAAAAAAAAAAAAAAAAAAAAAFtD&#10;b250ZW50X1R5cGVzXS54bWxQSwECLQAUAAYACAAAACEAOP0h/9YAAACUAQAACwAAAAAAAAAAAAAA&#10;AAAvAQAAX3JlbHMvLnJlbHNQSwECLQAUAAYACAAAACEAZiOZi6cCAACSBQAADgAAAAAAAAAAAAAA&#10;AAAuAgAAZHJzL2Uyb0RvYy54bWxQSwECLQAUAAYACAAAACEAXHaQv94AAAAKAQAADwAAAAAAAAAA&#10;AAAAAAABBQAAZHJzL2Rvd25yZXYueG1sUEsFBgAAAAAEAAQA8wAAAAwGAAAAAA==&#10;" fillcolor="#1e1e14" strokecolor="#243f60 [1604]" strokeweight="2pt">
                <v:textbo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1.</w:t>
                      </w:r>
                      <w:r w:rsidRPr="00DD3B6B">
                        <w:rPr>
                          <w:color w:val="FFFFFF" w:themeColor="background1"/>
                          <w:sz w:val="48"/>
                        </w:rPr>
                        <w:tab/>
                        <w:t>Datos generales</w:t>
                      </w:r>
                    </w:p>
                  </w:txbxContent>
                </v:textbox>
              </v:roundrect>
            </w:pict>
          </mc:Fallback>
        </mc:AlternateContent>
      </w:r>
    </w:p>
    <w:p w:rsidR="00DD3B6B" w:rsidRDefault="00DD3B6B" w:rsidP="009B7305">
      <w:pPr>
        <w:spacing w:after="120" w:line="480" w:lineRule="auto"/>
        <w:jc w:val="both"/>
        <w:rPr>
          <w:color w:val="1D1B11" w:themeColor="background2" w:themeShade="1A"/>
        </w:rPr>
      </w:pPr>
    </w:p>
    <w:p w:rsidR="00DD3B6B" w:rsidRDefault="00DD3B6B" w:rsidP="009B7305">
      <w:pPr>
        <w:spacing w:after="120" w:line="480" w:lineRule="auto"/>
        <w:jc w:val="both"/>
        <w:rPr>
          <w:color w:val="1D1B11" w:themeColor="background2" w:themeShade="1A"/>
        </w:rPr>
      </w:pPr>
    </w:p>
    <w:p w:rsidR="00DD3B6B" w:rsidRDefault="00DD3B6B" w:rsidP="009B7305">
      <w:pPr>
        <w:spacing w:after="120" w:line="480" w:lineRule="auto"/>
        <w:jc w:val="both"/>
        <w:rPr>
          <w:color w:val="1D1B11" w:themeColor="background2" w:themeShade="1A"/>
        </w:rPr>
      </w:pPr>
    </w:p>
    <w:p w:rsidR="00DD3B6B" w:rsidRDefault="00DD3B6B" w:rsidP="009B7305">
      <w:pPr>
        <w:spacing w:after="120" w:line="480" w:lineRule="auto"/>
        <w:jc w:val="both"/>
        <w:rPr>
          <w:color w:val="1D1B11" w:themeColor="background2" w:themeShade="1A"/>
        </w:rPr>
      </w:pPr>
    </w:p>
    <w:p w:rsidR="00DD3B6B" w:rsidRDefault="00DD3B6B" w:rsidP="009B7305">
      <w:pPr>
        <w:spacing w:after="120" w:line="480" w:lineRule="auto"/>
        <w:jc w:val="both"/>
        <w:rPr>
          <w:color w:val="1D1B11" w:themeColor="background2" w:themeShade="1A"/>
        </w:rPr>
      </w:pPr>
    </w:p>
    <w:p w:rsidR="00DD3B6B" w:rsidRDefault="00DD3B6B" w:rsidP="009B7305">
      <w:pPr>
        <w:spacing w:after="120" w:line="480" w:lineRule="auto"/>
        <w:jc w:val="both"/>
        <w:rPr>
          <w:rFonts w:cstheme="minorHAnsi"/>
          <w:sz w:val="24"/>
          <w:szCs w:val="24"/>
        </w:rPr>
      </w:pPr>
    </w:p>
    <w:p w:rsidR="00DD3B6B" w:rsidRDefault="00DD3B6B" w:rsidP="009B7305">
      <w:pPr>
        <w:spacing w:after="120" w:line="480" w:lineRule="auto"/>
        <w:jc w:val="both"/>
        <w:rPr>
          <w:rFonts w:cstheme="minorHAnsi"/>
          <w:sz w:val="24"/>
          <w:szCs w:val="24"/>
        </w:rPr>
      </w:pPr>
    </w:p>
    <w:p w:rsidR="00DD3B6B" w:rsidRDefault="00DD3B6B" w:rsidP="009B7305">
      <w:pPr>
        <w:spacing w:after="120" w:line="480" w:lineRule="auto"/>
        <w:jc w:val="both"/>
        <w:rPr>
          <w:rFonts w:cstheme="minorHAnsi"/>
          <w:sz w:val="24"/>
          <w:szCs w:val="24"/>
        </w:rPr>
      </w:pPr>
    </w:p>
    <w:p w:rsidR="00DD3B6B" w:rsidRDefault="00DD3B6B" w:rsidP="009B7305">
      <w:pPr>
        <w:spacing w:after="120" w:line="480" w:lineRule="auto"/>
        <w:jc w:val="both"/>
        <w:rPr>
          <w:rFonts w:cstheme="minorHAnsi"/>
          <w:sz w:val="24"/>
          <w:szCs w:val="24"/>
        </w:rPr>
      </w:pPr>
    </w:p>
    <w:p w:rsidR="00DD3B6B" w:rsidRDefault="00DD3B6B" w:rsidP="009B7305">
      <w:pPr>
        <w:spacing w:after="120" w:line="480" w:lineRule="auto"/>
        <w:jc w:val="both"/>
        <w:rPr>
          <w:rFonts w:cstheme="minorHAnsi"/>
          <w:sz w:val="24"/>
          <w:szCs w:val="24"/>
        </w:rPr>
      </w:pPr>
    </w:p>
    <w:p w:rsidR="00737086" w:rsidRDefault="00737086" w:rsidP="009B7305">
      <w:pPr>
        <w:spacing w:after="120" w:line="480" w:lineRule="auto"/>
        <w:jc w:val="both"/>
        <w:rPr>
          <w:rFonts w:cstheme="minorHAnsi"/>
          <w:sz w:val="24"/>
          <w:szCs w:val="24"/>
        </w:rPr>
      </w:pPr>
    </w:p>
    <w:p w:rsidR="00596D21" w:rsidRDefault="00596D21" w:rsidP="009B7305">
      <w:pPr>
        <w:spacing w:after="120" w:line="480" w:lineRule="auto"/>
        <w:jc w:val="both"/>
        <w:rPr>
          <w:rFonts w:cstheme="minorHAnsi"/>
          <w:sz w:val="24"/>
          <w:szCs w:val="24"/>
        </w:rPr>
      </w:pPr>
      <w:r>
        <w:rPr>
          <w:rFonts w:cstheme="minorHAnsi"/>
          <w:sz w:val="24"/>
          <w:szCs w:val="24"/>
        </w:rPr>
        <w:br w:type="page"/>
      </w:r>
    </w:p>
    <w:p w:rsidR="00737086" w:rsidRPr="006B78D2" w:rsidRDefault="00737086" w:rsidP="007A2F4D">
      <w:pPr>
        <w:spacing w:after="0" w:line="240" w:lineRule="auto"/>
        <w:jc w:val="both"/>
        <w:rPr>
          <w:rFonts w:cstheme="minorHAnsi"/>
          <w:color w:val="632423" w:themeColor="accent2" w:themeShade="80"/>
          <w:sz w:val="24"/>
          <w:szCs w:val="24"/>
        </w:rPr>
      </w:pPr>
    </w:p>
    <w:p w:rsidR="00596D21" w:rsidRPr="006B78D2" w:rsidRDefault="00596D21" w:rsidP="007A2F4D">
      <w:pPr>
        <w:pStyle w:val="Heading1"/>
        <w:spacing w:before="0" w:line="240" w:lineRule="auto"/>
        <w:rPr>
          <w:rFonts w:ascii="Maiandra GD" w:hAnsi="Maiandra GD"/>
          <w:b w:val="0"/>
          <w:color w:val="632423" w:themeColor="accent2" w:themeShade="80"/>
          <w:sz w:val="32"/>
          <w:szCs w:val="32"/>
        </w:rPr>
      </w:pPr>
      <w:bookmarkStart w:id="4" w:name="_Toc520556933"/>
      <w:r w:rsidRPr="006B78D2">
        <w:rPr>
          <w:rStyle w:val="Heading1Char"/>
          <w:rFonts w:ascii="Maiandra GD" w:hAnsi="Maiandra GD"/>
          <w:b/>
          <w:color w:val="632423" w:themeColor="accent2" w:themeShade="80"/>
          <w:sz w:val="32"/>
          <w:szCs w:val="32"/>
        </w:rPr>
        <w:t>DATOS GENERALES</w:t>
      </w:r>
      <w:bookmarkEnd w:id="4"/>
      <w:r w:rsidRPr="006B78D2">
        <w:rPr>
          <w:rFonts w:ascii="Maiandra GD" w:hAnsi="Maiandra GD"/>
          <w:b w:val="0"/>
          <w:color w:val="632423" w:themeColor="accent2" w:themeShade="80"/>
          <w:sz w:val="32"/>
          <w:szCs w:val="32"/>
        </w:rPr>
        <w:t xml:space="preserve"> </w:t>
      </w:r>
    </w:p>
    <w:p w:rsidR="006B78D2" w:rsidRPr="006B78D2" w:rsidRDefault="006B78D2" w:rsidP="006B78D2"/>
    <w:tbl>
      <w:tblPr>
        <w:tblStyle w:val="MediumShading1-Accent2"/>
        <w:tblW w:w="0" w:type="auto"/>
        <w:tblLook w:val="04A0" w:firstRow="1" w:lastRow="0" w:firstColumn="1" w:lastColumn="0" w:noHBand="0" w:noVBand="1"/>
      </w:tblPr>
      <w:tblGrid>
        <w:gridCol w:w="2622"/>
        <w:gridCol w:w="6196"/>
      </w:tblGrid>
      <w:tr w:rsidR="006B78D2" w:rsidRPr="006B78D2" w:rsidTr="008A2D78">
        <w:trPr>
          <w:cnfStyle w:val="100000000000" w:firstRow="1" w:lastRow="0" w:firstColumn="0" w:lastColumn="0" w:oddVBand="0" w:evenVBand="0" w:oddHBand="0" w:evenHBand="0" w:firstRowFirstColumn="0" w:firstRowLastColumn="0" w:lastRowFirstColumn="0" w:lastRowLastColumn="0"/>
          <w:trHeight w:val="1477"/>
        </w:trPr>
        <w:tc>
          <w:tcPr>
            <w:cnfStyle w:val="001000000000" w:firstRow="0" w:lastRow="0" w:firstColumn="1" w:lastColumn="0" w:oddVBand="0" w:evenVBand="0" w:oddHBand="0" w:evenHBand="0" w:firstRowFirstColumn="0" w:firstRowLastColumn="0" w:lastRowFirstColumn="0" w:lastRowLastColumn="0"/>
            <w:tcW w:w="2660" w:type="dxa"/>
            <w:vAlign w:val="center"/>
          </w:tcPr>
          <w:p w:rsidR="00E07479" w:rsidRPr="006B78D2" w:rsidRDefault="006B78D2" w:rsidP="006B78D2">
            <w:pPr>
              <w:rPr>
                <w:b w:val="0"/>
                <w:i/>
              </w:rPr>
            </w:pPr>
            <w:bookmarkStart w:id="5" w:name="_Toc520556934"/>
            <w:r w:rsidRPr="006B78D2">
              <w:rPr>
                <w:rStyle w:val="Heading2Char"/>
                <w:rFonts w:asciiTheme="minorHAnsi" w:hAnsiTheme="minorHAnsi"/>
                <w:color w:val="FFFFFF" w:themeColor="background1"/>
                <w:sz w:val="32"/>
                <w:szCs w:val="32"/>
              </w:rPr>
              <w:t>Nombre</w:t>
            </w:r>
            <w:bookmarkEnd w:id="5"/>
            <w:r w:rsidRPr="006B78D2">
              <w:rPr>
                <w:i/>
                <w:sz w:val="32"/>
                <w:szCs w:val="32"/>
              </w:rPr>
              <w:t>:</w:t>
            </w:r>
          </w:p>
        </w:tc>
        <w:tc>
          <w:tcPr>
            <w:tcW w:w="6318" w:type="dxa"/>
            <w:vAlign w:val="center"/>
          </w:tcPr>
          <w:p w:rsidR="00E07479" w:rsidRPr="006B78D2" w:rsidRDefault="00E07479" w:rsidP="006B78D2">
            <w:pPr>
              <w:cnfStyle w:val="100000000000" w:firstRow="1" w:lastRow="0" w:firstColumn="0" w:lastColumn="0" w:oddVBand="0" w:evenVBand="0" w:oddHBand="0" w:evenHBand="0" w:firstRowFirstColumn="0" w:firstRowLastColumn="0" w:lastRowFirstColumn="0" w:lastRowLastColumn="0"/>
              <w:rPr>
                <w:i/>
                <w:sz w:val="32"/>
              </w:rPr>
            </w:pPr>
            <w:r w:rsidRPr="006B78D2">
              <w:rPr>
                <w:i/>
                <w:sz w:val="32"/>
              </w:rPr>
              <w:t>Participaciones Federales a Entidades Federativas.</w:t>
            </w:r>
          </w:p>
        </w:tc>
      </w:tr>
    </w:tbl>
    <w:p w:rsidR="00E07479" w:rsidRPr="00E07479" w:rsidRDefault="00E07479" w:rsidP="006B78D2"/>
    <w:p w:rsidR="00E07479" w:rsidRPr="00345BFD" w:rsidRDefault="00596D21" w:rsidP="00BE2EBB">
      <w:pPr>
        <w:spacing w:after="480" w:line="480" w:lineRule="auto"/>
        <w:jc w:val="both"/>
        <w:rPr>
          <w:rFonts w:ascii="Tahoma" w:hAnsi="Tahoma" w:cs="Tahoma"/>
          <w:sz w:val="24"/>
          <w:szCs w:val="24"/>
        </w:rPr>
      </w:pPr>
      <w:r w:rsidRPr="00345BFD">
        <w:rPr>
          <w:rFonts w:ascii="Tahoma" w:hAnsi="Tahoma" w:cs="Tahoma"/>
          <w:sz w:val="24"/>
          <w:szCs w:val="24"/>
        </w:rPr>
        <w:t xml:space="preserve">El Ramo 28 del presupuesto de Egresos de la Federación, consiste en las Participaciones Federales a Entidades Federativas y Municipios, se refiere a los recursos que se transfieren a las entidades federativas y a los municipios, correspondientes a las participaciones en ingresos federales e incentivos económicos, de acuerdo con la Ley de Coordinación Fiscal y los Convenios de Adhesión al Sistema Nacional de Coordinación Fiscal y sus anexos, así como de conformidad con los Convenios de Colaboración Administrativa en Materia Fiscal Federal y sus anexos. Los recursos del Ramo General 28 no están etiquetados, es decir, no tienen un destino específico en el gasto de los gobiernos locales. </w:t>
      </w:r>
    </w:p>
    <w:p w:rsidR="00DD3B6B" w:rsidRPr="00345BFD" w:rsidRDefault="00596D21" w:rsidP="00BE2EBB">
      <w:pPr>
        <w:spacing w:after="480" w:line="480" w:lineRule="auto"/>
        <w:jc w:val="both"/>
        <w:rPr>
          <w:rFonts w:ascii="Tahoma" w:hAnsi="Tahoma" w:cs="Tahoma"/>
          <w:sz w:val="24"/>
          <w:szCs w:val="24"/>
        </w:rPr>
      </w:pPr>
      <w:r w:rsidRPr="00345BFD">
        <w:rPr>
          <w:rFonts w:ascii="Tahoma" w:hAnsi="Tahoma" w:cs="Tahoma"/>
          <w:sz w:val="24"/>
          <w:szCs w:val="24"/>
        </w:rPr>
        <w:t>Su carácter principal es resarcitorio; por lo que, tiene como fin asignar los recursos de manera proporcional a la participación de las entidades en la actividad económica y la recaudación; y por lo tanto pretende generar incentivos para incrementar el crecimiento económico y el esfuerzo recaudatorio., estos recursos compensan la aportación con un criterio resarcitorio a las entidades y sus municipios</w:t>
      </w:r>
      <w:r w:rsidR="0091149A">
        <w:rPr>
          <w:rFonts w:ascii="Tahoma" w:hAnsi="Tahoma" w:cs="Tahoma"/>
          <w:sz w:val="24"/>
          <w:szCs w:val="24"/>
        </w:rPr>
        <w:t>.</w:t>
      </w:r>
    </w:p>
    <w:p w:rsidR="00CA01DC" w:rsidRPr="00345BFD" w:rsidRDefault="00596D21" w:rsidP="00BE2EBB">
      <w:pPr>
        <w:spacing w:after="480" w:line="480" w:lineRule="auto"/>
        <w:jc w:val="both"/>
        <w:rPr>
          <w:rFonts w:ascii="Tahoma" w:hAnsi="Tahoma" w:cs="Tahoma"/>
          <w:sz w:val="24"/>
          <w:szCs w:val="24"/>
        </w:rPr>
      </w:pPr>
      <w:r w:rsidRPr="00345BFD">
        <w:rPr>
          <w:rFonts w:ascii="Tahoma" w:hAnsi="Tahoma" w:cs="Tahoma"/>
          <w:sz w:val="24"/>
          <w:szCs w:val="24"/>
        </w:rPr>
        <w:t xml:space="preserve">Los fondos de participaciones con asignación 2017 en Baja California son los siguientes: </w:t>
      </w:r>
    </w:p>
    <w:p w:rsidR="00596D21" w:rsidRPr="00345BFD" w:rsidRDefault="00596D21" w:rsidP="00BE2EBB">
      <w:pPr>
        <w:pStyle w:val="ListParagraph"/>
        <w:numPr>
          <w:ilvl w:val="0"/>
          <w:numId w:val="6"/>
        </w:numPr>
        <w:spacing w:after="480" w:line="480" w:lineRule="auto"/>
        <w:contextualSpacing/>
        <w:jc w:val="both"/>
        <w:rPr>
          <w:rFonts w:ascii="Tahoma" w:hAnsi="Tahoma" w:cs="Tahoma"/>
          <w:szCs w:val="24"/>
        </w:rPr>
      </w:pPr>
      <w:r w:rsidRPr="00345BFD">
        <w:rPr>
          <w:rFonts w:ascii="Tahoma" w:hAnsi="Tahoma" w:cs="Tahoma"/>
          <w:b/>
          <w:i/>
          <w:szCs w:val="24"/>
        </w:rPr>
        <w:t>Fondo General de Participaciones</w:t>
      </w:r>
      <w:r w:rsidRPr="00345BFD">
        <w:rPr>
          <w:rFonts w:ascii="Tahoma" w:hAnsi="Tahoma" w:cs="Tahoma"/>
          <w:szCs w:val="24"/>
        </w:rPr>
        <w:t>, que se constituye con el 20 por ciento de la RFP y se distribuye mediante la fórmula establecida en el artículo 2o de la Ley de Coordinación Fiscal, atendiendo a criterios de contribución económica y recaudatorios, ponderados por población.</w:t>
      </w:r>
    </w:p>
    <w:p w:rsidR="00596D21" w:rsidRPr="00345BFD" w:rsidRDefault="00596D21" w:rsidP="00BE2EBB">
      <w:pPr>
        <w:pStyle w:val="ListParagraph"/>
        <w:numPr>
          <w:ilvl w:val="0"/>
          <w:numId w:val="6"/>
        </w:numPr>
        <w:spacing w:after="480" w:line="480" w:lineRule="auto"/>
        <w:contextualSpacing/>
        <w:jc w:val="both"/>
        <w:rPr>
          <w:rFonts w:ascii="Tahoma" w:hAnsi="Tahoma" w:cs="Tahoma"/>
          <w:szCs w:val="24"/>
        </w:rPr>
      </w:pPr>
      <w:r w:rsidRPr="00345BFD">
        <w:rPr>
          <w:rFonts w:ascii="Tahoma" w:hAnsi="Tahoma" w:cs="Tahoma"/>
          <w:b/>
          <w:i/>
          <w:szCs w:val="24"/>
        </w:rPr>
        <w:t>Fondo de Fomento Municipal,</w:t>
      </w:r>
      <w:r w:rsidRPr="00345BFD">
        <w:rPr>
          <w:rFonts w:ascii="Tahoma" w:hAnsi="Tahoma" w:cs="Tahoma"/>
          <w:szCs w:val="24"/>
        </w:rPr>
        <w:t xml:space="preserve"> integrado con el uno por ciento de la RFP, y se distribuye conforme a la fórmula establecida en el artículo 2-A de la Ley de Coordinación Fiscal, mediante la cual se incentiva la recaudación local, así como la coordinación entre los municipios y el gobierno estatal para la administración del impuesto predial por parte de este último, con el objetivo de incrementar la recaudación por dicho tributo.</w:t>
      </w:r>
    </w:p>
    <w:p w:rsidR="00596D21" w:rsidRPr="00345BFD" w:rsidRDefault="00596D21" w:rsidP="00BE2EBB">
      <w:pPr>
        <w:pStyle w:val="ListParagraph"/>
        <w:numPr>
          <w:ilvl w:val="0"/>
          <w:numId w:val="6"/>
        </w:numPr>
        <w:spacing w:after="480" w:line="480" w:lineRule="auto"/>
        <w:contextualSpacing/>
        <w:jc w:val="both"/>
        <w:rPr>
          <w:rFonts w:ascii="Tahoma" w:hAnsi="Tahoma" w:cs="Tahoma"/>
          <w:szCs w:val="24"/>
        </w:rPr>
      </w:pPr>
      <w:r w:rsidRPr="00345BFD">
        <w:rPr>
          <w:rFonts w:ascii="Tahoma" w:hAnsi="Tahoma" w:cs="Tahoma"/>
          <w:b/>
          <w:i/>
          <w:szCs w:val="24"/>
        </w:rPr>
        <w:t>Fondo de Compensación del Impuesto sobre Automóviles Nuevos</w:t>
      </w:r>
      <w:r w:rsidRPr="00345BFD">
        <w:rPr>
          <w:rFonts w:ascii="Tahoma" w:hAnsi="Tahoma" w:cs="Tahoma"/>
          <w:szCs w:val="24"/>
        </w:rPr>
        <w:t>, creado a partir del ejercicio fiscal 2006, con el objetivo de resarcir a las entidades federativas la disminución de ingresos derivada de la ampliación de la exención de dicho impuesto. Las aportaciones para dicho Fondo, conforme al último párrafo del artículo 14 de la Ley Federal del Impuesto sobre Automóviles Nuevos, se determinan y actualizan anualmente en el respectivo Presupuesto de Egresos de la Federación.</w:t>
      </w:r>
    </w:p>
    <w:p w:rsidR="00596D21" w:rsidRPr="00345BFD" w:rsidRDefault="00596D21" w:rsidP="00BE2EBB">
      <w:pPr>
        <w:spacing w:after="480" w:line="480" w:lineRule="auto"/>
        <w:ind w:left="851" w:hanging="425"/>
        <w:contextualSpacing/>
        <w:jc w:val="both"/>
        <w:rPr>
          <w:rFonts w:ascii="Tahoma" w:hAnsi="Tahoma" w:cs="Tahoma"/>
          <w:sz w:val="24"/>
          <w:szCs w:val="24"/>
        </w:rPr>
      </w:pPr>
      <w:r w:rsidRPr="00345BFD">
        <w:rPr>
          <w:rFonts w:ascii="Tahoma" w:hAnsi="Tahoma" w:cs="Tahoma"/>
          <w:b/>
          <w:i/>
          <w:sz w:val="24"/>
          <w:szCs w:val="24"/>
        </w:rPr>
        <w:t>4) Otros incentivos económicos</w:t>
      </w:r>
      <w:r w:rsidRPr="00345BFD">
        <w:rPr>
          <w:rFonts w:ascii="Tahoma" w:hAnsi="Tahoma" w:cs="Tahoma"/>
          <w:sz w:val="24"/>
          <w:szCs w:val="24"/>
        </w:rPr>
        <w:t>, derivados de los Convenios de Colaboración administrativa en materia fiscal federal. El monto de estos recursos depende de que los Estados firmen y ejecuten los Convenios de Colaboración establecidos con la Federación.</w:t>
      </w:r>
    </w:p>
    <w:tbl>
      <w:tblPr>
        <w:tblStyle w:val="DarkList-Accent2"/>
        <w:tblW w:w="8880" w:type="dxa"/>
        <w:tblInd w:w="108" w:type="dxa"/>
        <w:tblLook w:val="04A0" w:firstRow="1" w:lastRow="0" w:firstColumn="1" w:lastColumn="0" w:noHBand="0" w:noVBand="1"/>
      </w:tblPr>
      <w:tblGrid>
        <w:gridCol w:w="2286"/>
        <w:gridCol w:w="351"/>
        <w:gridCol w:w="2174"/>
        <w:gridCol w:w="4069"/>
      </w:tblGrid>
      <w:tr w:rsidR="008A2D78" w:rsidRPr="00BE2EBB" w:rsidTr="007A2F4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37" w:type="dxa"/>
            <w:gridSpan w:val="2"/>
            <w:noWrap/>
            <w:vAlign w:val="center"/>
            <w:hideMark/>
          </w:tcPr>
          <w:p w:rsidR="00596D21" w:rsidRPr="00BE2EBB" w:rsidRDefault="00596D21" w:rsidP="007A2F4D">
            <w:pPr>
              <w:ind w:left="-108"/>
              <w:jc w:val="center"/>
              <w:rPr>
                <w:rFonts w:ascii="Tahoma" w:eastAsia="Times New Roman" w:hAnsi="Tahoma" w:cs="Tahoma"/>
                <w:sz w:val="20"/>
                <w:szCs w:val="20"/>
                <w:lang w:eastAsia="es-MX"/>
              </w:rPr>
            </w:pPr>
            <w:r w:rsidRPr="00BE2EBB">
              <w:rPr>
                <w:rFonts w:ascii="Tahoma" w:eastAsia="Times New Roman" w:hAnsi="Tahoma" w:cs="Tahoma"/>
                <w:sz w:val="20"/>
                <w:szCs w:val="20"/>
                <w:lang w:eastAsia="es-MX"/>
              </w:rPr>
              <w:t>DESCRIPCIÓN MODALIDAD</w:t>
            </w:r>
          </w:p>
        </w:tc>
        <w:tc>
          <w:tcPr>
            <w:tcW w:w="2174" w:type="dxa"/>
            <w:noWrap/>
            <w:vAlign w:val="center"/>
            <w:hideMark/>
          </w:tcPr>
          <w:p w:rsidR="00596D21" w:rsidRPr="00BE2EBB" w:rsidRDefault="00596D21" w:rsidP="007A2F4D">
            <w:pPr>
              <w:ind w:left="-108"/>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s-MX"/>
              </w:rPr>
            </w:pPr>
            <w:r w:rsidRPr="00BE2EBB">
              <w:rPr>
                <w:rFonts w:ascii="Tahoma" w:eastAsia="Times New Roman" w:hAnsi="Tahoma" w:cs="Tahoma"/>
                <w:sz w:val="20"/>
                <w:szCs w:val="20"/>
                <w:lang w:eastAsia="es-MX"/>
              </w:rPr>
              <w:t>IDENTIFICA</w:t>
            </w:r>
            <w:r w:rsidR="00CA01DC" w:rsidRPr="00BE2EBB">
              <w:rPr>
                <w:rFonts w:ascii="Tahoma" w:eastAsia="Times New Roman" w:hAnsi="Tahoma" w:cs="Tahoma"/>
                <w:sz w:val="20"/>
                <w:szCs w:val="20"/>
                <w:lang w:eastAsia="es-MX"/>
              </w:rPr>
              <w:t>C</w:t>
            </w:r>
            <w:r w:rsidRPr="00BE2EBB">
              <w:rPr>
                <w:rFonts w:ascii="Tahoma" w:eastAsia="Times New Roman" w:hAnsi="Tahoma" w:cs="Tahoma"/>
                <w:sz w:val="20"/>
                <w:szCs w:val="20"/>
                <w:lang w:eastAsia="es-MX"/>
              </w:rPr>
              <w:t>IÓN DEL PROGRAMA PRESUPUESTARIO</w:t>
            </w:r>
          </w:p>
        </w:tc>
        <w:tc>
          <w:tcPr>
            <w:tcW w:w="4069" w:type="dxa"/>
            <w:noWrap/>
            <w:vAlign w:val="center"/>
            <w:hideMark/>
          </w:tcPr>
          <w:p w:rsidR="00596D21" w:rsidRPr="00BE2EBB" w:rsidRDefault="00596D21" w:rsidP="007A2F4D">
            <w:pPr>
              <w:ind w:left="-108"/>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s-MX"/>
              </w:rPr>
            </w:pPr>
            <w:r w:rsidRPr="00BE2EBB">
              <w:rPr>
                <w:rFonts w:ascii="Tahoma" w:eastAsia="Times New Roman" w:hAnsi="Tahoma" w:cs="Tahoma"/>
                <w:sz w:val="20"/>
                <w:szCs w:val="20"/>
                <w:lang w:eastAsia="es-MX"/>
              </w:rPr>
              <w:t>DESCRIPCIÓN PROGRAMA PRESUPUESTARIO</w:t>
            </w:r>
          </w:p>
        </w:tc>
      </w:tr>
      <w:tr w:rsidR="008A2D78" w:rsidRPr="00BE2EBB" w:rsidTr="008133F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286" w:type="dxa"/>
            <w:vMerge w:val="restart"/>
            <w:noWrap/>
            <w:vAlign w:val="center"/>
            <w:hideMark/>
          </w:tcPr>
          <w:p w:rsidR="00163E86" w:rsidRPr="00512EF2" w:rsidRDefault="00163E86" w:rsidP="007A2F4D">
            <w:pPr>
              <w:ind w:left="34"/>
              <w:jc w:val="center"/>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PARTICIPACIONES A ENTIDADES FEDERATIVAS Y MUNICIPIOS</w:t>
            </w:r>
          </w:p>
        </w:tc>
        <w:tc>
          <w:tcPr>
            <w:tcW w:w="2524" w:type="dxa"/>
            <w:gridSpan w:val="2"/>
            <w:noWrap/>
            <w:vAlign w:val="center"/>
            <w:hideMark/>
          </w:tcPr>
          <w:p w:rsidR="00163E86" w:rsidRPr="00512EF2" w:rsidRDefault="00163E86" w:rsidP="007A2F4D">
            <w:pPr>
              <w:ind w:left="-108"/>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lang w:eastAsia="es-MX"/>
              </w:rPr>
            </w:pPr>
            <w:r w:rsidRPr="00512EF2">
              <w:rPr>
                <w:rFonts w:ascii="Tahoma" w:eastAsia="Times New Roman" w:hAnsi="Tahoma" w:cs="Tahoma"/>
                <w:b/>
                <w:lang w:eastAsia="es-MX"/>
              </w:rPr>
              <w:t>1</w:t>
            </w:r>
          </w:p>
        </w:tc>
        <w:tc>
          <w:tcPr>
            <w:tcW w:w="4069" w:type="dxa"/>
            <w:noWrap/>
            <w:vAlign w:val="center"/>
            <w:hideMark/>
          </w:tcPr>
          <w:p w:rsidR="00163E86" w:rsidRPr="00512EF2" w:rsidRDefault="00163E86" w:rsidP="007A2F4D">
            <w:pPr>
              <w:ind w:left="-108"/>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lang w:eastAsia="es-MX"/>
              </w:rPr>
            </w:pPr>
            <w:r w:rsidRPr="00512EF2">
              <w:rPr>
                <w:rFonts w:ascii="Tahoma" w:eastAsia="Times New Roman" w:hAnsi="Tahoma" w:cs="Tahoma"/>
                <w:b/>
                <w:lang w:eastAsia="es-MX"/>
              </w:rPr>
              <w:t>Fondo General de Participaciones</w:t>
            </w:r>
          </w:p>
        </w:tc>
      </w:tr>
      <w:tr w:rsidR="008A2D78" w:rsidRPr="00BE2EBB" w:rsidTr="008133F1">
        <w:trPr>
          <w:trHeight w:val="574"/>
        </w:trPr>
        <w:tc>
          <w:tcPr>
            <w:cnfStyle w:val="001000000000" w:firstRow="0" w:lastRow="0" w:firstColumn="1" w:lastColumn="0" w:oddVBand="0" w:evenVBand="0" w:oddHBand="0" w:evenHBand="0" w:firstRowFirstColumn="0" w:firstRowLastColumn="0" w:lastRowFirstColumn="0" w:lastRowLastColumn="0"/>
            <w:tcW w:w="2286" w:type="dxa"/>
            <w:vMerge/>
            <w:noWrap/>
            <w:vAlign w:val="center"/>
            <w:hideMark/>
          </w:tcPr>
          <w:p w:rsidR="00163E86" w:rsidRPr="00512EF2" w:rsidRDefault="00163E86" w:rsidP="007A2F4D">
            <w:pPr>
              <w:ind w:left="-108"/>
              <w:jc w:val="center"/>
              <w:rPr>
                <w:rFonts w:ascii="Tahoma" w:hAnsi="Tahoma" w:cs="Tahoma"/>
              </w:rPr>
            </w:pPr>
          </w:p>
        </w:tc>
        <w:tc>
          <w:tcPr>
            <w:tcW w:w="2524" w:type="dxa"/>
            <w:gridSpan w:val="2"/>
            <w:noWrap/>
            <w:vAlign w:val="center"/>
            <w:hideMark/>
          </w:tcPr>
          <w:p w:rsidR="00163E86" w:rsidRPr="00512EF2" w:rsidRDefault="00163E86" w:rsidP="007A2F4D">
            <w:pPr>
              <w:ind w:left="-108"/>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lang w:eastAsia="es-MX"/>
              </w:rPr>
            </w:pPr>
            <w:r w:rsidRPr="00512EF2">
              <w:rPr>
                <w:rFonts w:ascii="Tahoma" w:eastAsia="Times New Roman" w:hAnsi="Tahoma" w:cs="Tahoma"/>
                <w:b/>
                <w:lang w:eastAsia="es-MX"/>
              </w:rPr>
              <w:t>2</w:t>
            </w:r>
          </w:p>
        </w:tc>
        <w:tc>
          <w:tcPr>
            <w:tcW w:w="4069" w:type="dxa"/>
            <w:noWrap/>
            <w:vAlign w:val="center"/>
            <w:hideMark/>
          </w:tcPr>
          <w:p w:rsidR="00163E86" w:rsidRPr="00512EF2" w:rsidRDefault="00163E86" w:rsidP="007A2F4D">
            <w:pPr>
              <w:ind w:left="-108"/>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lang w:eastAsia="es-MX"/>
              </w:rPr>
            </w:pPr>
            <w:r w:rsidRPr="00512EF2">
              <w:rPr>
                <w:rFonts w:ascii="Tahoma" w:eastAsia="Times New Roman" w:hAnsi="Tahoma" w:cs="Tahoma"/>
                <w:b/>
                <w:lang w:eastAsia="es-MX"/>
              </w:rPr>
              <w:t>Fondo de Fomento Municipal</w:t>
            </w:r>
          </w:p>
        </w:tc>
      </w:tr>
      <w:tr w:rsidR="008A2D78" w:rsidRPr="00BE2EBB" w:rsidTr="008133F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286" w:type="dxa"/>
            <w:vMerge/>
            <w:noWrap/>
            <w:vAlign w:val="center"/>
            <w:hideMark/>
          </w:tcPr>
          <w:p w:rsidR="00163E86" w:rsidRPr="00512EF2" w:rsidRDefault="00163E86" w:rsidP="007A2F4D">
            <w:pPr>
              <w:ind w:left="-108"/>
              <w:jc w:val="center"/>
              <w:rPr>
                <w:rFonts w:ascii="Tahoma" w:hAnsi="Tahoma" w:cs="Tahoma"/>
              </w:rPr>
            </w:pPr>
          </w:p>
        </w:tc>
        <w:tc>
          <w:tcPr>
            <w:tcW w:w="2524" w:type="dxa"/>
            <w:gridSpan w:val="2"/>
            <w:noWrap/>
            <w:vAlign w:val="center"/>
            <w:hideMark/>
          </w:tcPr>
          <w:p w:rsidR="00163E86" w:rsidRPr="00512EF2" w:rsidRDefault="00163E86" w:rsidP="007A2F4D">
            <w:pPr>
              <w:ind w:left="-108"/>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lang w:eastAsia="es-MX"/>
              </w:rPr>
            </w:pPr>
            <w:r w:rsidRPr="00512EF2">
              <w:rPr>
                <w:rFonts w:ascii="Tahoma" w:eastAsia="Times New Roman" w:hAnsi="Tahoma" w:cs="Tahoma"/>
                <w:b/>
                <w:lang w:eastAsia="es-MX"/>
              </w:rPr>
              <w:t>3</w:t>
            </w:r>
          </w:p>
        </w:tc>
        <w:tc>
          <w:tcPr>
            <w:tcW w:w="4069" w:type="dxa"/>
            <w:noWrap/>
            <w:vAlign w:val="center"/>
            <w:hideMark/>
          </w:tcPr>
          <w:p w:rsidR="00163E86" w:rsidRPr="00512EF2" w:rsidRDefault="00163E86" w:rsidP="007A2F4D">
            <w:pPr>
              <w:ind w:left="-108"/>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lang w:eastAsia="es-MX"/>
              </w:rPr>
            </w:pPr>
            <w:r w:rsidRPr="00512EF2">
              <w:rPr>
                <w:rFonts w:ascii="Tahoma" w:eastAsia="Times New Roman" w:hAnsi="Tahoma" w:cs="Tahoma"/>
                <w:b/>
                <w:lang w:eastAsia="es-MX"/>
              </w:rPr>
              <w:t>Otros conceptos participables e incentivos económicos</w:t>
            </w:r>
          </w:p>
        </w:tc>
      </w:tr>
      <w:tr w:rsidR="008A2D78" w:rsidRPr="00BE2EBB" w:rsidTr="007A2F4D">
        <w:trPr>
          <w:trHeight w:val="979"/>
        </w:trPr>
        <w:tc>
          <w:tcPr>
            <w:cnfStyle w:val="001000000000" w:firstRow="0" w:lastRow="0" w:firstColumn="1" w:lastColumn="0" w:oddVBand="0" w:evenVBand="0" w:oddHBand="0" w:evenHBand="0" w:firstRowFirstColumn="0" w:firstRowLastColumn="0" w:lastRowFirstColumn="0" w:lastRowLastColumn="0"/>
            <w:tcW w:w="2286" w:type="dxa"/>
            <w:vMerge/>
            <w:noWrap/>
            <w:vAlign w:val="center"/>
            <w:hideMark/>
          </w:tcPr>
          <w:p w:rsidR="00163E86" w:rsidRPr="00512EF2" w:rsidRDefault="00163E86" w:rsidP="007A2F4D">
            <w:pPr>
              <w:ind w:left="-108"/>
              <w:jc w:val="center"/>
              <w:rPr>
                <w:rFonts w:ascii="Tahoma" w:hAnsi="Tahoma" w:cs="Tahoma"/>
              </w:rPr>
            </w:pPr>
          </w:p>
        </w:tc>
        <w:tc>
          <w:tcPr>
            <w:tcW w:w="2524" w:type="dxa"/>
            <w:gridSpan w:val="2"/>
            <w:noWrap/>
            <w:vAlign w:val="center"/>
            <w:hideMark/>
          </w:tcPr>
          <w:p w:rsidR="00163E86" w:rsidRPr="00512EF2" w:rsidRDefault="00163E86" w:rsidP="007A2F4D">
            <w:pPr>
              <w:ind w:left="-108"/>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lang w:eastAsia="es-MX"/>
              </w:rPr>
            </w:pPr>
            <w:r w:rsidRPr="00512EF2">
              <w:rPr>
                <w:rFonts w:ascii="Tahoma" w:eastAsia="Times New Roman" w:hAnsi="Tahoma" w:cs="Tahoma"/>
                <w:b/>
                <w:lang w:eastAsia="es-MX"/>
              </w:rPr>
              <w:t>4</w:t>
            </w:r>
          </w:p>
        </w:tc>
        <w:tc>
          <w:tcPr>
            <w:tcW w:w="4069" w:type="dxa"/>
            <w:noWrap/>
            <w:vAlign w:val="center"/>
            <w:hideMark/>
          </w:tcPr>
          <w:p w:rsidR="00163E86" w:rsidRPr="00512EF2" w:rsidRDefault="00163E86" w:rsidP="007A2F4D">
            <w:pPr>
              <w:ind w:left="-108"/>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lang w:eastAsia="es-MX"/>
              </w:rPr>
            </w:pPr>
            <w:r w:rsidRPr="00512EF2">
              <w:rPr>
                <w:rFonts w:ascii="Tahoma" w:eastAsia="Times New Roman" w:hAnsi="Tahoma" w:cs="Tahoma"/>
                <w:b/>
                <w:lang w:eastAsia="es-MX"/>
              </w:rPr>
              <w:t>Fondo de Compensación del Impuesto sobre Automóviles Nuevos</w:t>
            </w:r>
          </w:p>
        </w:tc>
      </w:tr>
    </w:tbl>
    <w:p w:rsidR="00737086" w:rsidRDefault="008133F1" w:rsidP="008133F1">
      <w:pPr>
        <w:spacing w:after="0" w:line="240" w:lineRule="auto"/>
        <w:jc w:val="both"/>
        <w:rPr>
          <w:rFonts w:ascii="Tahoma" w:hAnsi="Tahoma" w:cs="Tahoma"/>
          <w:sz w:val="20"/>
          <w:szCs w:val="20"/>
        </w:rPr>
      </w:pPr>
      <w:r w:rsidRPr="008133F1">
        <w:rPr>
          <w:rFonts w:ascii="Tahoma" w:hAnsi="Tahoma" w:cs="Tahoma"/>
          <w:sz w:val="20"/>
          <w:szCs w:val="20"/>
        </w:rPr>
        <w:t xml:space="preserve">Fuente: </w:t>
      </w:r>
      <w:r w:rsidR="00252C0F">
        <w:rPr>
          <w:rFonts w:ascii="Tahoma" w:hAnsi="Tahoma" w:cs="Tahoma"/>
          <w:sz w:val="20"/>
          <w:szCs w:val="20"/>
        </w:rPr>
        <w:t xml:space="preserve">Elaboración propia con información de: </w:t>
      </w:r>
      <w:r w:rsidRPr="008133F1">
        <w:rPr>
          <w:rFonts w:ascii="Tahoma" w:hAnsi="Tahoma" w:cs="Tahoma"/>
          <w:sz w:val="20"/>
          <w:szCs w:val="20"/>
        </w:rPr>
        <w:t>CEFP (2017). Recursos Identificados para el Estado de Baja California en el Proyecto de Presupuesto de Egresos de la Federación. Centro de Estudios de las Finanzas Públicas. Cámara de Diputados LXIII</w:t>
      </w:r>
    </w:p>
    <w:p w:rsidR="008133F1" w:rsidRDefault="008133F1" w:rsidP="008133F1">
      <w:pPr>
        <w:spacing w:after="0" w:line="240" w:lineRule="auto"/>
        <w:ind w:firstLine="709"/>
        <w:jc w:val="both"/>
        <w:rPr>
          <w:rFonts w:ascii="Tahoma" w:hAnsi="Tahoma" w:cs="Tahoma"/>
          <w:sz w:val="20"/>
          <w:szCs w:val="20"/>
        </w:rPr>
      </w:pPr>
    </w:p>
    <w:p w:rsidR="008133F1" w:rsidRPr="008133F1" w:rsidRDefault="008133F1" w:rsidP="008133F1">
      <w:pPr>
        <w:spacing w:after="0" w:line="240" w:lineRule="auto"/>
        <w:ind w:firstLine="709"/>
        <w:jc w:val="both"/>
        <w:rPr>
          <w:rFonts w:ascii="Tahoma" w:hAnsi="Tahoma" w:cs="Tahoma"/>
          <w:sz w:val="20"/>
          <w:szCs w:val="20"/>
        </w:rPr>
      </w:pPr>
    </w:p>
    <w:p w:rsidR="00737086" w:rsidRPr="00BE2EBB" w:rsidRDefault="006B78D2" w:rsidP="007A2F4D">
      <w:pPr>
        <w:pStyle w:val="Heading2"/>
        <w:spacing w:before="0" w:after="240" w:line="360" w:lineRule="auto"/>
        <w:jc w:val="both"/>
        <w:rPr>
          <w:rStyle w:val="Heading1Char"/>
          <w:rFonts w:ascii="Maiandra GD" w:hAnsi="Maiandra GD" w:cs="Tahoma"/>
          <w:b/>
          <w:bCs/>
          <w:color w:val="632423" w:themeColor="accent2" w:themeShade="80"/>
          <w:sz w:val="32"/>
          <w:szCs w:val="32"/>
        </w:rPr>
      </w:pPr>
      <w:bookmarkStart w:id="6" w:name="_Toc520556935"/>
      <w:r w:rsidRPr="00BE2EBB">
        <w:rPr>
          <w:rStyle w:val="Heading1Char"/>
          <w:rFonts w:ascii="Maiandra GD" w:hAnsi="Maiandra GD" w:cs="Tahoma"/>
          <w:b/>
          <w:bCs/>
          <w:color w:val="632423" w:themeColor="accent2" w:themeShade="80"/>
          <w:sz w:val="32"/>
          <w:szCs w:val="32"/>
        </w:rPr>
        <w:t>Dependencia, Entidad y Unidad responsable del programa presupuestario estatal o del gasto federalizado</w:t>
      </w:r>
      <w:bookmarkEnd w:id="6"/>
    </w:p>
    <w:p w:rsidR="00531EF9" w:rsidRPr="00BE2EBB" w:rsidRDefault="005560E2" w:rsidP="0091149A">
      <w:pPr>
        <w:spacing w:after="480" w:line="480" w:lineRule="auto"/>
        <w:jc w:val="both"/>
        <w:rPr>
          <w:rFonts w:ascii="Tahoma" w:hAnsi="Tahoma" w:cs="Tahoma"/>
          <w:sz w:val="24"/>
          <w:szCs w:val="24"/>
        </w:rPr>
      </w:pPr>
      <w:r w:rsidRPr="00BE2EBB">
        <w:rPr>
          <w:rFonts w:ascii="Tahoma" w:hAnsi="Tahoma" w:cs="Tahoma"/>
          <w:sz w:val="24"/>
          <w:szCs w:val="24"/>
        </w:rPr>
        <w:t xml:space="preserve">Es la </w:t>
      </w:r>
      <w:r w:rsidRPr="008A2D78">
        <w:rPr>
          <w:rFonts w:ascii="Tahoma" w:hAnsi="Tahoma" w:cs="Tahoma"/>
          <w:b/>
          <w:color w:val="943634" w:themeColor="accent2" w:themeShade="BF"/>
          <w:sz w:val="28"/>
          <w:szCs w:val="24"/>
        </w:rPr>
        <w:t>Secretaría de Planeación y Finanzas del Estado de Baja California</w:t>
      </w:r>
      <w:r w:rsidRPr="00BE2EBB">
        <w:rPr>
          <w:rFonts w:ascii="Tahoma" w:hAnsi="Tahoma" w:cs="Tahoma"/>
          <w:sz w:val="24"/>
          <w:szCs w:val="24"/>
        </w:rPr>
        <w:t xml:space="preserve">, </w:t>
      </w:r>
      <w:r w:rsidR="00D251BE" w:rsidRPr="00BE2EBB">
        <w:rPr>
          <w:rFonts w:ascii="Tahoma" w:hAnsi="Tahoma" w:cs="Tahoma"/>
          <w:sz w:val="24"/>
          <w:szCs w:val="24"/>
        </w:rPr>
        <w:t xml:space="preserve">la Dependencia </w:t>
      </w:r>
      <w:r w:rsidRPr="00BE2EBB">
        <w:rPr>
          <w:rFonts w:ascii="Tahoma" w:hAnsi="Tahoma" w:cs="Tahoma"/>
          <w:sz w:val="24"/>
          <w:szCs w:val="24"/>
        </w:rPr>
        <w:t xml:space="preserve">responsable de recibir y transferir, </w:t>
      </w:r>
      <w:r w:rsidR="00D251BE" w:rsidRPr="00BE2EBB">
        <w:rPr>
          <w:rFonts w:ascii="Tahoma" w:hAnsi="Tahoma" w:cs="Tahoma"/>
          <w:sz w:val="24"/>
          <w:szCs w:val="24"/>
        </w:rPr>
        <w:t>los fondos de participaciones</w:t>
      </w:r>
      <w:r w:rsidRPr="00BE2EBB">
        <w:rPr>
          <w:rFonts w:ascii="Tahoma" w:hAnsi="Tahoma" w:cs="Tahoma"/>
          <w:sz w:val="24"/>
          <w:szCs w:val="24"/>
        </w:rPr>
        <w:t xml:space="preserve">. </w:t>
      </w:r>
      <w:r w:rsidR="00D251BE" w:rsidRPr="00BE2EBB">
        <w:rPr>
          <w:rFonts w:ascii="Tahoma" w:hAnsi="Tahoma" w:cs="Tahoma"/>
          <w:sz w:val="24"/>
          <w:szCs w:val="24"/>
        </w:rPr>
        <w:t>Cuando la Hacienda Pública de esta Entidad recibe las transferencias no condicionadas de la Federación, éstas se distribuyen entre el Gobierno del Estado y sus respectivos municipios, de manera autónoma, sin injerencia del Gobierno Central, a través de los criterios determinados en la Ley de Coordinación Fiscal que aprueba la Legislatura Local.</w:t>
      </w:r>
      <w:r w:rsidR="00531EF9" w:rsidRPr="00BE2EBB">
        <w:rPr>
          <w:rFonts w:ascii="Tahoma" w:hAnsi="Tahoma" w:cs="Tahoma"/>
          <w:sz w:val="24"/>
          <w:szCs w:val="24"/>
        </w:rPr>
        <w:t xml:space="preserve"> </w:t>
      </w:r>
    </w:p>
    <w:p w:rsidR="00737086" w:rsidRPr="00BE2EBB" w:rsidRDefault="00D251BE" w:rsidP="0091149A">
      <w:pPr>
        <w:spacing w:after="480" w:line="480" w:lineRule="auto"/>
        <w:jc w:val="both"/>
        <w:rPr>
          <w:rFonts w:ascii="Tahoma" w:hAnsi="Tahoma" w:cs="Tahoma"/>
          <w:sz w:val="24"/>
          <w:szCs w:val="24"/>
        </w:rPr>
      </w:pPr>
      <w:r w:rsidRPr="00BE2EBB">
        <w:rPr>
          <w:rFonts w:ascii="Tahoma" w:hAnsi="Tahoma" w:cs="Tahoma"/>
          <w:sz w:val="24"/>
          <w:szCs w:val="24"/>
        </w:rPr>
        <w:t>Siendo así, l</w:t>
      </w:r>
      <w:r w:rsidR="005929DF" w:rsidRPr="00BE2EBB">
        <w:rPr>
          <w:rFonts w:ascii="Tahoma" w:hAnsi="Tahoma" w:cs="Tahoma"/>
          <w:sz w:val="24"/>
          <w:szCs w:val="24"/>
        </w:rPr>
        <w:t>a Federación entregará las participaciones a los municipios por conducto de los Estados; dentro de los cinco días siguientes a aquel en que el Estado las reciba; el retraso dará lugar al pago de intereses, a la tasa de recargos que establece el Congreso de la Unión para los casos de pago a plazos de contribuciones; en caso de incumplimiento la Federación hará la entrega directa a los Municipios descontando la participación del monto que corresponda al Estado,</w:t>
      </w:r>
      <w:r w:rsidRPr="00BE2EBB">
        <w:rPr>
          <w:rFonts w:ascii="Tahoma" w:hAnsi="Tahoma" w:cs="Tahoma"/>
          <w:sz w:val="24"/>
          <w:szCs w:val="24"/>
        </w:rPr>
        <w:t xml:space="preserve"> </w:t>
      </w:r>
      <w:r w:rsidR="005929DF" w:rsidRPr="00BE2EBB">
        <w:rPr>
          <w:rFonts w:ascii="Tahoma" w:hAnsi="Tahoma" w:cs="Tahoma"/>
          <w:sz w:val="24"/>
          <w:szCs w:val="24"/>
        </w:rPr>
        <w:t>previa opinión de la Comisión Permanente de Funcionarios Fiscales.</w:t>
      </w:r>
    </w:p>
    <w:p w:rsidR="00531EF9" w:rsidRPr="00704976" w:rsidRDefault="00704976" w:rsidP="0091149A">
      <w:pPr>
        <w:pStyle w:val="Heading1"/>
        <w:spacing w:before="0" w:after="240" w:line="360" w:lineRule="auto"/>
        <w:jc w:val="both"/>
        <w:rPr>
          <w:rStyle w:val="Heading1Char"/>
          <w:rFonts w:ascii="Tahoma" w:hAnsi="Tahoma" w:cs="Tahoma"/>
          <w:bCs/>
          <w:color w:val="943634" w:themeColor="accent2" w:themeShade="BF"/>
          <w:sz w:val="32"/>
          <w:szCs w:val="32"/>
        </w:rPr>
      </w:pPr>
      <w:bookmarkStart w:id="7" w:name="_Toc520556936"/>
      <w:r>
        <w:rPr>
          <w:rStyle w:val="Heading1Char"/>
          <w:rFonts w:ascii="Tahoma" w:hAnsi="Tahoma" w:cs="Tahoma"/>
          <w:bCs/>
          <w:color w:val="943634" w:themeColor="accent2" w:themeShade="BF"/>
          <w:sz w:val="32"/>
          <w:szCs w:val="32"/>
        </w:rPr>
        <w:t>P</w:t>
      </w:r>
      <w:r w:rsidRPr="00704976">
        <w:rPr>
          <w:rStyle w:val="Heading1Char"/>
          <w:rFonts w:ascii="Tahoma" w:hAnsi="Tahoma" w:cs="Tahoma"/>
          <w:bCs/>
          <w:color w:val="943634" w:themeColor="accent2" w:themeShade="BF"/>
          <w:sz w:val="32"/>
          <w:szCs w:val="32"/>
        </w:rPr>
        <w:t xml:space="preserve">oblación objetivo y </w:t>
      </w:r>
      <w:r>
        <w:rPr>
          <w:rStyle w:val="Heading1Char"/>
          <w:rFonts w:ascii="Tahoma" w:hAnsi="Tahoma" w:cs="Tahoma"/>
          <w:bCs/>
          <w:color w:val="943634" w:themeColor="accent2" w:themeShade="BF"/>
          <w:sz w:val="32"/>
          <w:szCs w:val="32"/>
        </w:rPr>
        <w:t xml:space="preserve">población </w:t>
      </w:r>
      <w:r w:rsidRPr="00704976">
        <w:rPr>
          <w:rStyle w:val="Heading1Char"/>
          <w:rFonts w:ascii="Tahoma" w:hAnsi="Tahoma" w:cs="Tahoma"/>
          <w:bCs/>
          <w:color w:val="943634" w:themeColor="accent2" w:themeShade="BF"/>
          <w:sz w:val="32"/>
          <w:szCs w:val="32"/>
        </w:rPr>
        <w:t>atendida</w:t>
      </w:r>
      <w:bookmarkEnd w:id="7"/>
    </w:p>
    <w:p w:rsidR="00704976" w:rsidRDefault="00704976" w:rsidP="0091149A">
      <w:pPr>
        <w:spacing w:after="480" w:line="480" w:lineRule="auto"/>
        <w:jc w:val="both"/>
        <w:rPr>
          <w:rFonts w:ascii="Tahoma" w:hAnsi="Tahoma" w:cs="Tahoma"/>
          <w:sz w:val="24"/>
          <w:szCs w:val="24"/>
        </w:rPr>
      </w:pPr>
      <w:r>
        <w:rPr>
          <w:rFonts w:ascii="Tahoma" w:hAnsi="Tahoma" w:cs="Tahoma"/>
          <w:sz w:val="24"/>
          <w:szCs w:val="24"/>
        </w:rPr>
        <w:t>Dado que los recursos transferidos a la Entidad se destinan discrecionalmente a los Planes y Programas definidos en la Administración Pública Estatal y Municipal, indirectamente, se beneficia a toda la población residente en Baja California.</w:t>
      </w:r>
    </w:p>
    <w:p w:rsidR="00704976" w:rsidRDefault="0091149A" w:rsidP="0091149A">
      <w:pPr>
        <w:spacing w:after="480" w:line="480" w:lineRule="auto"/>
        <w:jc w:val="both"/>
        <w:rPr>
          <w:rFonts w:ascii="Tahoma" w:hAnsi="Tahoma" w:cs="Tahoma"/>
          <w:sz w:val="24"/>
          <w:szCs w:val="24"/>
        </w:rPr>
      </w:pPr>
      <w:r w:rsidRPr="0091149A">
        <w:rPr>
          <w:rFonts w:ascii="Tahoma" w:hAnsi="Tahoma" w:cs="Tahoma"/>
          <w:sz w:val="24"/>
          <w:szCs w:val="24"/>
        </w:rPr>
        <w:t>Las Participaciones Federales están compuestas por diversos fondos y cada uno de ellos tiene una fórmula de repartición. Estas fórmulas toman en cuenta variables distintas como el tamaño de la población en la entidad o municipio, el crecimiento del PIB estatal, el crecimiento de la recaudación de impuestos y derechos locales con respecto a los años anteriores, así como el crecimiento de los impuestos locales con respecto a lo que recaudan de la misma forma los demás estados.</w:t>
      </w:r>
    </w:p>
    <w:p w:rsidR="007A2F4D" w:rsidRDefault="007A2F4D" w:rsidP="0091149A">
      <w:pPr>
        <w:spacing w:after="480" w:line="480" w:lineRule="auto"/>
        <w:jc w:val="both"/>
        <w:rPr>
          <w:rFonts w:ascii="Tahoma" w:hAnsi="Tahoma" w:cs="Tahoma"/>
          <w:sz w:val="24"/>
          <w:szCs w:val="24"/>
        </w:rPr>
      </w:pPr>
    </w:p>
    <w:p w:rsidR="0091149A" w:rsidRDefault="0091149A" w:rsidP="008133F1">
      <w:pPr>
        <w:spacing w:after="0" w:line="240" w:lineRule="auto"/>
        <w:jc w:val="both"/>
        <w:rPr>
          <w:rFonts w:ascii="Tahoma" w:hAnsi="Tahoma" w:cs="Tahoma"/>
          <w:sz w:val="24"/>
          <w:szCs w:val="24"/>
        </w:rPr>
      </w:pPr>
      <w:r>
        <w:rPr>
          <w:rFonts w:ascii="Tahoma" w:hAnsi="Tahoma" w:cs="Tahoma"/>
          <w:noProof/>
          <w:sz w:val="24"/>
          <w:szCs w:val="24"/>
          <w:lang w:val="en-US"/>
        </w:rPr>
        <w:drawing>
          <wp:inline distT="0" distB="0" distL="0" distR="0">
            <wp:extent cx="5534025" cy="2705100"/>
            <wp:effectExtent l="0" t="57150" r="0" b="3810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A2F4D" w:rsidRDefault="008133F1" w:rsidP="008133F1">
      <w:pPr>
        <w:spacing w:after="0" w:line="240" w:lineRule="auto"/>
        <w:jc w:val="both"/>
        <w:rPr>
          <w:rFonts w:ascii="Tahoma" w:eastAsia="Batang" w:hAnsi="Tahoma" w:cs="Tahoma"/>
          <w:snapToGrid w:val="0"/>
          <w:sz w:val="20"/>
          <w:szCs w:val="20"/>
        </w:rPr>
      </w:pPr>
      <w:r w:rsidRPr="008133F1">
        <w:rPr>
          <w:rFonts w:ascii="Tahoma" w:hAnsi="Tahoma" w:cs="Tahoma"/>
          <w:sz w:val="20"/>
          <w:szCs w:val="20"/>
        </w:rPr>
        <w:t xml:space="preserve">Fuente: </w:t>
      </w:r>
      <w:r w:rsidR="00252C0F">
        <w:rPr>
          <w:rFonts w:ascii="Tahoma" w:hAnsi="Tahoma" w:cs="Tahoma"/>
          <w:sz w:val="20"/>
          <w:szCs w:val="20"/>
        </w:rPr>
        <w:t xml:space="preserve">Elaboración propia con información de: </w:t>
      </w:r>
      <w:r w:rsidRPr="008133F1">
        <w:rPr>
          <w:rFonts w:ascii="Tahoma" w:eastAsia="Batang" w:hAnsi="Tahoma" w:cs="Tahoma"/>
          <w:snapToGrid w:val="0"/>
          <w:sz w:val="20"/>
          <w:szCs w:val="20"/>
        </w:rPr>
        <w:t>COPLADE BC (2017). Publicaciones Sociodemográficas. Baja California. Ensenada 2016.</w:t>
      </w:r>
    </w:p>
    <w:p w:rsidR="008133F1" w:rsidRDefault="008133F1" w:rsidP="008133F1">
      <w:pPr>
        <w:spacing w:after="0" w:line="240" w:lineRule="auto"/>
        <w:jc w:val="both"/>
        <w:rPr>
          <w:rFonts w:ascii="Tahoma" w:eastAsia="Batang" w:hAnsi="Tahoma" w:cs="Tahoma"/>
          <w:snapToGrid w:val="0"/>
          <w:sz w:val="20"/>
          <w:szCs w:val="20"/>
        </w:rPr>
      </w:pPr>
    </w:p>
    <w:p w:rsidR="008133F1" w:rsidRDefault="008133F1" w:rsidP="008133F1">
      <w:pPr>
        <w:spacing w:after="0" w:line="240" w:lineRule="auto"/>
        <w:jc w:val="both"/>
        <w:rPr>
          <w:rFonts w:ascii="Tahoma" w:eastAsia="Batang" w:hAnsi="Tahoma" w:cs="Tahoma"/>
          <w:snapToGrid w:val="0"/>
          <w:sz w:val="20"/>
          <w:szCs w:val="20"/>
        </w:rPr>
      </w:pPr>
    </w:p>
    <w:p w:rsidR="008133F1" w:rsidRDefault="008133F1" w:rsidP="008133F1">
      <w:pPr>
        <w:spacing w:after="0" w:line="240" w:lineRule="auto"/>
        <w:jc w:val="both"/>
        <w:rPr>
          <w:rFonts w:ascii="Tahoma" w:hAnsi="Tahoma" w:cs="Tahoma"/>
          <w:sz w:val="20"/>
          <w:szCs w:val="20"/>
        </w:rPr>
      </w:pPr>
    </w:p>
    <w:p w:rsidR="008133F1" w:rsidRDefault="008133F1" w:rsidP="008133F1">
      <w:pPr>
        <w:spacing w:after="0" w:line="240" w:lineRule="auto"/>
        <w:jc w:val="both"/>
        <w:rPr>
          <w:rFonts w:ascii="Tahoma" w:hAnsi="Tahoma" w:cs="Tahoma"/>
          <w:sz w:val="20"/>
          <w:szCs w:val="20"/>
        </w:rPr>
      </w:pPr>
    </w:p>
    <w:p w:rsidR="008133F1" w:rsidRPr="008133F1" w:rsidRDefault="008133F1" w:rsidP="008133F1">
      <w:pPr>
        <w:spacing w:after="0" w:line="240" w:lineRule="auto"/>
        <w:jc w:val="both"/>
        <w:rPr>
          <w:rFonts w:ascii="Tahoma" w:hAnsi="Tahoma" w:cs="Tahoma"/>
          <w:sz w:val="20"/>
          <w:szCs w:val="20"/>
        </w:rPr>
      </w:pPr>
    </w:p>
    <w:p w:rsidR="00737086" w:rsidRPr="00BE2EBB" w:rsidRDefault="00531EF9" w:rsidP="008A2D78">
      <w:pPr>
        <w:pStyle w:val="Heading1"/>
        <w:spacing w:before="0" w:after="240" w:line="360" w:lineRule="auto"/>
        <w:jc w:val="both"/>
        <w:rPr>
          <w:rStyle w:val="Heading1Char"/>
          <w:rFonts w:ascii="Tahoma" w:hAnsi="Tahoma" w:cs="Tahoma"/>
          <w:color w:val="943634" w:themeColor="accent2" w:themeShade="BF"/>
          <w:sz w:val="32"/>
          <w:szCs w:val="32"/>
        </w:rPr>
      </w:pPr>
      <w:bookmarkStart w:id="8" w:name="_Toc520556937"/>
      <w:r w:rsidRPr="00BE2EBB">
        <w:rPr>
          <w:rStyle w:val="Heading1Char"/>
          <w:rFonts w:ascii="Tahoma" w:hAnsi="Tahoma" w:cs="Tahoma"/>
          <w:color w:val="943634" w:themeColor="accent2" w:themeShade="BF"/>
          <w:sz w:val="32"/>
          <w:szCs w:val="32"/>
        </w:rPr>
        <w:t>Presupuesto autorizado, modificado y ejercido, Baja California, en el ejercicio fiscal 2017</w:t>
      </w:r>
      <w:bookmarkEnd w:id="8"/>
    </w:p>
    <w:p w:rsidR="004449BF" w:rsidRPr="00BE2EBB" w:rsidRDefault="004449BF" w:rsidP="00BE2EBB">
      <w:pPr>
        <w:spacing w:after="480" w:line="480" w:lineRule="auto"/>
        <w:jc w:val="both"/>
        <w:rPr>
          <w:rFonts w:ascii="Tahoma" w:hAnsi="Tahoma" w:cs="Tahoma"/>
          <w:b/>
          <w:color w:val="943634" w:themeColor="accent2" w:themeShade="BF"/>
          <w:sz w:val="28"/>
          <w:szCs w:val="24"/>
        </w:rPr>
      </w:pPr>
      <w:r w:rsidRPr="00BE2EBB">
        <w:rPr>
          <w:rFonts w:ascii="Tahoma" w:hAnsi="Tahoma" w:cs="Tahoma"/>
          <w:sz w:val="24"/>
          <w:szCs w:val="24"/>
        </w:rPr>
        <w:t xml:space="preserve">Al carecer de un destino específico en el gasto de las Entidades Federativas, los recursos no se encuentran etiquetados. </w:t>
      </w:r>
      <w:r w:rsidRPr="00BE2EBB">
        <w:rPr>
          <w:rFonts w:ascii="Tahoma" w:eastAsia="Times New Roman" w:hAnsi="Tahoma" w:cs="Tahoma"/>
          <w:b/>
          <w:color w:val="943634" w:themeColor="accent2" w:themeShade="BF"/>
          <w:sz w:val="28"/>
          <w:szCs w:val="24"/>
          <w:lang w:eastAsia="es-MX"/>
        </w:rPr>
        <w:t>Para el ejercicio 2017</w:t>
      </w:r>
      <w:r w:rsidRPr="00BE2EBB">
        <w:rPr>
          <w:rFonts w:ascii="Tahoma" w:hAnsi="Tahoma" w:cs="Tahoma"/>
          <w:sz w:val="24"/>
          <w:szCs w:val="24"/>
        </w:rPr>
        <w:t xml:space="preserve">, el presupuesto asignado por Participaciones a Entidades Federativas y Municipios, aprobado </w:t>
      </w:r>
      <w:r w:rsidR="00023BB2">
        <w:rPr>
          <w:rFonts w:ascii="Tahoma" w:hAnsi="Tahoma" w:cs="Tahoma"/>
          <w:sz w:val="24"/>
          <w:szCs w:val="24"/>
        </w:rPr>
        <w:t xml:space="preserve">al Estado de Baja California </w:t>
      </w:r>
      <w:r w:rsidRPr="00BE2EBB">
        <w:rPr>
          <w:rFonts w:ascii="Tahoma" w:hAnsi="Tahoma" w:cs="Tahoma"/>
          <w:sz w:val="24"/>
          <w:szCs w:val="24"/>
        </w:rPr>
        <w:t xml:space="preserve">fue de </w:t>
      </w:r>
      <w:r w:rsidRPr="00BE2EBB">
        <w:rPr>
          <w:rFonts w:ascii="Tahoma" w:eastAsia="Times New Roman" w:hAnsi="Tahoma" w:cs="Tahoma"/>
          <w:b/>
          <w:color w:val="943634" w:themeColor="accent2" w:themeShade="BF"/>
          <w:sz w:val="28"/>
          <w:szCs w:val="24"/>
          <w:lang w:eastAsia="es-MX"/>
        </w:rPr>
        <w:t>$21,061´497,319.00 (Veinte y un mil, sesenta y un millones, cuatrocientos noventa y siete mil, trescientos diecinueve pesos 00/100 M.N.).</w:t>
      </w:r>
    </w:p>
    <w:p w:rsidR="004449BF" w:rsidRDefault="00A342FE" w:rsidP="004449BF">
      <w:pPr>
        <w:spacing w:after="480" w:line="480" w:lineRule="auto"/>
        <w:rPr>
          <w:rFonts w:ascii="Tahoma" w:hAnsi="Tahoma" w:cs="Tahoma"/>
          <w:sz w:val="24"/>
          <w:szCs w:val="24"/>
        </w:rPr>
      </w:pPr>
      <w:r>
        <w:rPr>
          <w:rFonts w:ascii="Tahoma" w:hAnsi="Tahoma" w:cs="Tahoma"/>
          <w:noProof/>
          <w:sz w:val="24"/>
          <w:szCs w:val="24"/>
          <w:lang w:val="en-US"/>
        </w:rPr>
        <mc:AlternateContent>
          <mc:Choice Requires="wps">
            <w:drawing>
              <wp:anchor distT="0" distB="0" distL="114300" distR="114300" simplePos="0" relativeHeight="251648512" behindDoc="0" locked="0" layoutInCell="1" allowOverlap="1" wp14:anchorId="611D7415" wp14:editId="41FB30E1">
                <wp:simplePos x="0" y="0"/>
                <wp:positionH relativeFrom="column">
                  <wp:posOffset>2082165</wp:posOffset>
                </wp:positionH>
                <wp:positionV relativeFrom="paragraph">
                  <wp:posOffset>208915</wp:posOffset>
                </wp:positionV>
                <wp:extent cx="1085850" cy="18573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085850" cy="1857375"/>
                        </a:xfrm>
                        <a:prstGeom prst="rect">
                          <a:avLst/>
                        </a:prstGeom>
                        <a:noFill/>
                        <a:ln w="6350">
                          <a:noFill/>
                        </a:ln>
                        <a:effectLst/>
                      </wps:spPr>
                      <wps:txbx>
                        <w:txbxContent>
                          <w:p w:rsidR="00E0113E" w:rsidRDefault="00E0113E" w:rsidP="004449BF">
                            <w:pPr>
                              <w:rPr>
                                <w:b/>
                                <w:color w:val="FFFFFF" w:themeColor="background1"/>
                                <w:sz w:val="24"/>
                                <w:szCs w:val="24"/>
                              </w:rPr>
                            </w:pPr>
                            <w:r>
                              <w:rPr>
                                <w:b/>
                                <w:color w:val="FFFFFF" w:themeColor="background1"/>
                                <w:sz w:val="24"/>
                                <w:szCs w:val="24"/>
                              </w:rPr>
                              <w:t>→Recibe</w:t>
                            </w:r>
                          </w:p>
                          <w:p w:rsidR="00E0113E" w:rsidRDefault="00E0113E" w:rsidP="004449BF">
                            <w:pPr>
                              <w:rPr>
                                <w:b/>
                                <w:color w:val="FFFFFF" w:themeColor="background1"/>
                                <w:sz w:val="24"/>
                                <w:szCs w:val="24"/>
                              </w:rPr>
                            </w:pPr>
                            <w:r w:rsidRPr="00296252">
                              <w:rPr>
                                <w:b/>
                                <w:color w:val="FFFFFF" w:themeColor="background1"/>
                                <w:sz w:val="24"/>
                                <w:szCs w:val="24"/>
                              </w:rPr>
                              <w:t>HACIENDA DEL ESTADO DE BAJA CALIFORNIA</w:t>
                            </w:r>
                          </w:p>
                          <w:p w:rsidR="00E0113E" w:rsidRPr="00296252" w:rsidRDefault="00E0113E" w:rsidP="004449BF">
                            <w:pPr>
                              <w:rPr>
                                <w:b/>
                                <w:color w:val="FFFFFF" w:themeColor="background1"/>
                                <w:sz w:val="24"/>
                                <w:szCs w:val="24"/>
                              </w:rPr>
                            </w:pPr>
                            <w:r>
                              <w:rPr>
                                <w:b/>
                                <w:color w:val="FFFFFF" w:themeColor="background1"/>
                                <w:sz w:val="24"/>
                                <w:szCs w:val="24"/>
                              </w:rPr>
                              <w:t>Transfiere→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1D7415" id="_x0000_t202" coordsize="21600,21600" o:spt="202" path="m,l,21600r21600,l21600,xe">
                <v:stroke joinstyle="miter"/>
                <v:path gradientshapeok="t" o:connecttype="rect"/>
              </v:shapetype>
              <v:shape id="Cuadro de texto 23" o:spid="_x0000_s1030" type="#_x0000_t202" style="position:absolute;margin-left:163.95pt;margin-top:16.45pt;width:85.5pt;height:14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UfOwIAAHAEAAAOAAAAZHJzL2Uyb0RvYy54bWysVE2P2jAQvVfqf7B8L+FzoRFhRVlRVUK7&#10;K7HVno1jk0i2x7UNCf31HTvA0m1PVS9m7Dd59rw3w/y+1YochfM1mIIOen1KhOFQ1mZf0O8v608z&#10;SnxgpmQKjCjoSXh6v/j4Yd7YXAyhAlUKR5DE+LyxBa1CsHmWeV4JzXwPrDAISnCaBdy6fVY61iC7&#10;Vtmw37/LGnCldcCF93j60IF0kfilFDw8SelFIKqg+LaQVpfWXVyzxZzle8dsVfPzM9g/vEKz2uCl&#10;V6oHFhg5uPoPKl1zBx5k6HHQGUhZc5FqwGoG/XfVbCtmRaoFxfH2KpP/f7T88fjsSF0WdDiixDCN&#10;Hq0OrHRASkGCaAMQRFCmxvocs7cW80P7BVq0+3Lu8TBW30qn4y/WRRBHwU9XkZGK8PhRfzaZTRDi&#10;iA1mk+loOok82dvn1vnwVYAmMSioQxeTuOy48aFLvaTE2wysa6WSk8qQpqB3I+T/DUFyZeKJSD1x&#10;pokldU+PUWh3bVJifClrB+UJq3XQtY23fF3jizbMh2fmsE+wCuz98ISLVIA3wzmipAL382/nMR/t&#10;Q5SSBvuuoP7HgTlBifpm0NjPg/E4NmrajCfTIW7cLbK7RcxBrwBbe4BTZnkKY35Ql1A60K84Ist4&#10;K0LMcLy7oOESrkI3DThiXCyXKQlb07KwMVvLI3XULer90r4yZ8+mxNZ4hEuHsvydN11u58HyEEDW&#10;ybioc6cqGh432NbJ+vMIxrm53aestz+KxS8AAAD//wMAUEsDBBQABgAIAAAAIQDf0fzN4AAAAAoB&#10;AAAPAAAAZHJzL2Rvd25yZXYueG1sTI9BT8MwDIXvSPyHyEjcWErZoCtNp6nShITYYWMXbmnjtRWN&#10;U5psK/x63BOc/Gw/PX/OVqPtxBkH3zpScD+LQCBVzrRUKzi8b+4SED5oMrpzhAq+0cMqv77KdGrc&#10;hXZ43odacAj5VCtoQuhTKX3VoNV+5nok3h3dYHXgdqilGfSFw20n4yh6lFa3xBca3WPRYPW5P1kF&#10;r8Vmq3dlbJOfrnh5O677r8PHQqnbm3H9DCLgGP7MMOEzOuTMVLoTGS86BQ/x05Ktk+DKhvkyYVFO&#10;g8UcZJ7J/y/kvwAAAP//AwBQSwECLQAUAAYACAAAACEAtoM4kv4AAADhAQAAEwAAAAAAAAAAAAAA&#10;AAAAAAAAW0NvbnRlbnRfVHlwZXNdLnhtbFBLAQItABQABgAIAAAAIQA4/SH/1gAAAJQBAAALAAAA&#10;AAAAAAAAAAAAAC8BAABfcmVscy8ucmVsc1BLAQItABQABgAIAAAAIQC59eUfOwIAAHAEAAAOAAAA&#10;AAAAAAAAAAAAAC4CAABkcnMvZTJvRG9jLnhtbFBLAQItABQABgAIAAAAIQDf0fzN4AAAAAoBAAAP&#10;AAAAAAAAAAAAAAAAAJUEAABkcnMvZG93bnJldi54bWxQSwUGAAAAAAQABADzAAAAogUAAAAA&#10;" filled="f" stroked="f" strokeweight=".5pt">
                <v:textbox>
                  <w:txbxContent>
                    <w:p w:rsidR="00E0113E" w:rsidRDefault="00E0113E" w:rsidP="004449BF">
                      <w:pPr>
                        <w:rPr>
                          <w:b/>
                          <w:color w:val="FFFFFF" w:themeColor="background1"/>
                          <w:sz w:val="24"/>
                          <w:szCs w:val="24"/>
                        </w:rPr>
                      </w:pPr>
                      <w:r>
                        <w:rPr>
                          <w:b/>
                          <w:color w:val="FFFFFF" w:themeColor="background1"/>
                          <w:sz w:val="24"/>
                          <w:szCs w:val="24"/>
                        </w:rPr>
                        <w:t>→Recibe</w:t>
                      </w:r>
                    </w:p>
                    <w:p w:rsidR="00E0113E" w:rsidRDefault="00E0113E" w:rsidP="004449BF">
                      <w:pPr>
                        <w:rPr>
                          <w:b/>
                          <w:color w:val="FFFFFF" w:themeColor="background1"/>
                          <w:sz w:val="24"/>
                          <w:szCs w:val="24"/>
                        </w:rPr>
                      </w:pPr>
                      <w:r w:rsidRPr="00296252">
                        <w:rPr>
                          <w:b/>
                          <w:color w:val="FFFFFF" w:themeColor="background1"/>
                          <w:sz w:val="24"/>
                          <w:szCs w:val="24"/>
                        </w:rPr>
                        <w:t>HACIENDA DEL ESTADO DE BAJA CALIFORNIA</w:t>
                      </w:r>
                    </w:p>
                    <w:p w:rsidR="00E0113E" w:rsidRPr="00296252" w:rsidRDefault="00E0113E" w:rsidP="004449BF">
                      <w:pPr>
                        <w:rPr>
                          <w:b/>
                          <w:color w:val="FFFFFF" w:themeColor="background1"/>
                          <w:sz w:val="24"/>
                          <w:szCs w:val="24"/>
                        </w:rPr>
                      </w:pPr>
                      <w:r>
                        <w:rPr>
                          <w:b/>
                          <w:color w:val="FFFFFF" w:themeColor="background1"/>
                          <w:sz w:val="24"/>
                          <w:szCs w:val="24"/>
                        </w:rPr>
                        <w:t>Transfiere→</w:t>
                      </w:r>
                    </w:p>
                  </w:txbxContent>
                </v:textbox>
              </v:shape>
            </w:pict>
          </mc:Fallback>
        </mc:AlternateContent>
      </w:r>
      <w:r w:rsidR="00EA692B">
        <w:rPr>
          <w:rFonts w:ascii="Tahoma" w:hAnsi="Tahoma" w:cs="Tahoma"/>
          <w:noProof/>
          <w:sz w:val="24"/>
          <w:szCs w:val="24"/>
          <w:lang w:val="en-US"/>
        </w:rPr>
        <mc:AlternateContent>
          <mc:Choice Requires="wps">
            <w:drawing>
              <wp:anchor distT="0" distB="0" distL="114300" distR="114300" simplePos="0" relativeHeight="251647488" behindDoc="0" locked="0" layoutInCell="1" allowOverlap="1" wp14:anchorId="5C8F0D1D" wp14:editId="76F70885">
                <wp:simplePos x="0" y="0"/>
                <wp:positionH relativeFrom="column">
                  <wp:posOffset>1405890</wp:posOffset>
                </wp:positionH>
                <wp:positionV relativeFrom="paragraph">
                  <wp:posOffset>45720</wp:posOffset>
                </wp:positionV>
                <wp:extent cx="438150" cy="2276475"/>
                <wp:effectExtent l="0" t="0" r="19050" b="28575"/>
                <wp:wrapNone/>
                <wp:docPr id="22" name="Cerrar llave 22"/>
                <wp:cNvGraphicFramePr/>
                <a:graphic xmlns:a="http://schemas.openxmlformats.org/drawingml/2006/main">
                  <a:graphicData uri="http://schemas.microsoft.com/office/word/2010/wordprocessingShape">
                    <wps:wsp>
                      <wps:cNvSpPr/>
                      <wps:spPr>
                        <a:xfrm>
                          <a:off x="0" y="0"/>
                          <a:ext cx="438150" cy="2276475"/>
                        </a:xfrm>
                        <a:prstGeom prst="rightBrace">
                          <a:avLst/>
                        </a:prstGeom>
                        <a:noFill/>
                        <a:ln w="22225"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70D53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2" o:spid="_x0000_s1026" type="#_x0000_t88" style="position:absolute;margin-left:110.7pt;margin-top:3.6pt;width:34.5pt;height:179.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lecQIAAN4EAAAOAAAAZHJzL2Uyb0RvYy54bWysVMlu2zAQvRfoPxC8N5JVO0mFyIFrI0WB&#10;NDGQFDmPKWoBuHVIW06/vkNKWdr0VNQHevbhPL7RxeVRK3aQ6HtrKj47yTmTRti6N23Fv99ffTjn&#10;zAcwNShrZMUfpeeXy/fvLgZXysJ2VtUSGRUxvhxcxbsQXJllXnRSgz+xThpyNhY1BFKxzWqEgapr&#10;lRV5fpoNFmuHVkjvyboZnXyZ6jeNFOG2abwMTFWc7hbSiencxTNbXkDZIriuF9M14B9uoaE31PS5&#10;1AYCsD32b0rpXqD1tgknwurMNk0vZJqBppnlf0xz14GTaRYCx7tnmPz/KytuDltkfV3xouDMgKY3&#10;WktEQKYUHCQjM2E0OF9S6J3b4qR5EuPAxwZ1/KdR2DHh+viMqzwGJsg4/3g+WxD6glxFcXY6P1vE&#10;otlLtkMfvkirWRQqjn3bhc8IIk4PJRyufRgTngKj2dirXimyQ6kMG2LtolhQGyAiNQoCidrRaN60&#10;nIFqiaEiYCrprerrmB6zPba7tUJ2AGLJOl/k800KUnv9zdajeZHTb7r1FJ8m+K1QvN0GfDemJNeU&#10;okxsJBMjp2EipiOKUdrZ+pFeAu1IUe/EVU/VrsGHLSBxkvCjPQu3dDTK0rR2kjjrLP78mz3GE1XI&#10;y9lAHCckfuwBJWfqqyESfZrN53EpkjJfnBWk4GvP7rXH7PXaEkAz2mgnkhjjg3oSG7T6gdZxFbuS&#10;C4yg3iPmk7IO4+7RQgu5WqUwWgQH4drcORGLR5wijvfHB0A3ESIQlW7s0z68YcQYGzONXe2DbfpE&#10;lxdc6amiQkuUHm1a+Lilr/UU9fJZWv4CAAD//wMAUEsDBBQABgAIAAAAIQAIowD04AAAAAkBAAAP&#10;AAAAZHJzL2Rvd25yZXYueG1sTI/BTsMwEETvSPyDtUhcEHVqoC0hmwqhVlQcEBQu3Nx4m1iN7Sh2&#10;m/D3LCc4jmY086ZYjq4VJ+qjDR5hOslAkK+Csb5G+PxYXy9AxKS90W3whPBNEZbl+VmhcxMG/06n&#10;baoFl/iYa4QmpS6XMlYNOR0noSPP3j70TieWfS1Nrwcud61UWTaTTlvPC43u6Kmh6rA9OgT7uli9&#10;DPL50G1s/NqvG3pbpSvEy4vx8QFEojH9heEXn9GhZKZdOHoTRYug1PSWowhzBYJ9dZ+x3iHczO7m&#10;IMtC/n9Q/gAAAP//AwBQSwECLQAUAAYACAAAACEAtoM4kv4AAADhAQAAEwAAAAAAAAAAAAAAAAAA&#10;AAAAW0NvbnRlbnRfVHlwZXNdLnhtbFBLAQItABQABgAIAAAAIQA4/SH/1gAAAJQBAAALAAAAAAAA&#10;AAAAAAAAAC8BAABfcmVscy8ucmVsc1BLAQItABQABgAIAAAAIQDmxElecQIAAN4EAAAOAAAAAAAA&#10;AAAAAAAAAC4CAABkcnMvZTJvRG9jLnhtbFBLAQItABQABgAIAAAAIQAIowD04AAAAAkBAAAPAAAA&#10;AAAAAAAAAAAAAMsEAABkcnMvZG93bnJldi54bWxQSwUGAAAAAAQABADzAAAA2AUAAAAA&#10;" adj="346" strokecolor="#632523" strokeweight="1.75pt"/>
            </w:pict>
          </mc:Fallback>
        </mc:AlternateContent>
      </w:r>
      <w:r w:rsidR="004449BF">
        <w:rPr>
          <w:rFonts w:ascii="Tahoma" w:hAnsi="Tahoma" w:cs="Tahoma"/>
          <w:noProof/>
          <w:sz w:val="24"/>
          <w:szCs w:val="24"/>
          <w:lang w:val="en-US"/>
        </w:rPr>
        <mc:AlternateContent>
          <mc:Choice Requires="wps">
            <w:drawing>
              <wp:anchor distT="0" distB="0" distL="114300" distR="114300" simplePos="0" relativeHeight="251646464" behindDoc="0" locked="0" layoutInCell="1" allowOverlap="1" wp14:anchorId="22FCE937" wp14:editId="5B8B9721">
                <wp:simplePos x="0" y="0"/>
                <wp:positionH relativeFrom="column">
                  <wp:posOffset>53340</wp:posOffset>
                </wp:positionH>
                <wp:positionV relativeFrom="paragraph">
                  <wp:posOffset>417195</wp:posOffset>
                </wp:positionV>
                <wp:extent cx="1400175" cy="16383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400175" cy="1638300"/>
                        </a:xfrm>
                        <a:prstGeom prst="rect">
                          <a:avLst/>
                        </a:prstGeom>
                        <a:noFill/>
                        <a:ln w="6350">
                          <a:noFill/>
                        </a:ln>
                        <a:effectLst/>
                      </wps:spPr>
                      <wps:txbx>
                        <w:txbxContent>
                          <w:p w:rsidR="00E0113E" w:rsidRDefault="00E0113E" w:rsidP="004449BF">
                            <w:pPr>
                              <w:jc w:val="center"/>
                              <w:rPr>
                                <w:b/>
                              </w:rPr>
                            </w:pPr>
                            <w:r>
                              <w:rPr>
                                <w:b/>
                              </w:rPr>
                              <w:t xml:space="preserve">GOBIERNO FEDERAL </w:t>
                            </w:r>
                            <w:r w:rsidRPr="00531EF9">
                              <w:rPr>
                                <w:b/>
                              </w:rPr>
                              <w:t>FONDO DE PARTICIPACIONES</w:t>
                            </w:r>
                            <w:r>
                              <w:rPr>
                                <w:b/>
                              </w:rPr>
                              <w:t xml:space="preserve"> PARA</w:t>
                            </w:r>
                          </w:p>
                          <w:p w:rsidR="00E0113E" w:rsidRDefault="00E0113E" w:rsidP="004449BF">
                            <w:pPr>
                              <w:jc w:val="center"/>
                              <w:rPr>
                                <w:b/>
                              </w:rPr>
                            </w:pPr>
                            <w:r>
                              <w:rPr>
                                <w:b/>
                              </w:rPr>
                              <w:t>BAJA CALIFORNIA</w:t>
                            </w:r>
                          </w:p>
                          <w:p w:rsidR="00E0113E" w:rsidRPr="00531EF9" w:rsidRDefault="00E0113E" w:rsidP="004449BF">
                            <w:pPr>
                              <w:jc w:val="center"/>
                              <w:rPr>
                                <w:b/>
                              </w:rPr>
                            </w:pPr>
                            <w:r w:rsidRPr="004449BF">
                              <w:rPr>
                                <w:b/>
                              </w:rPr>
                              <w:t>$21,061´497,319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CE937" id="Cuadro de texto 15" o:spid="_x0000_s1031" type="#_x0000_t202" style="position:absolute;margin-left:4.2pt;margin-top:32.85pt;width:110.25pt;height:12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ZwPAIAAHAEAAAOAAAAZHJzL2Uyb0RvYy54bWysVEtv2zAMvg/YfxB0X2zn1TaIU2QpMgwo&#10;2gLp0LMiS7EBSdQkJXb260fJSRp0Ow27yKRI8fV99Py+04ochPMNmJIWg5wSYThUjdmV9Mfr+sst&#10;JT4wUzEFRpT0KDy9X3z+NG/tTAyhBlUJRzCI8bPWlrQOwc6yzPNaaOYHYIVBowSnWUDV7bLKsRaj&#10;a5UN83yateAq64AL7/H2oTfSRYovpeDhWUovAlElxdpCOl06t/HMFnM22zlm64afymD/UIVmjcGk&#10;l1APLDCyd80foXTDHXiQYcBBZyBlw0XqAbsp8g/dbGpmReoFh+PtZUz+/4XlT4cXR5oKsZtQYphG&#10;jFZ7VjkglSBBdAEIWnBMrfUz9N5Y9A/dV+jwyfne42XsvpNOxy/2RdCOAz9ehoyhCI+Pxnle3GAy&#10;jrZiOrod5QmG7P25dT58E6BJFErqEMU0XHZ49AFLQdezS8xmYN0olZBUhrQlnY4meXpwseALZaKv&#10;SJw4hYkt9aVHKXTbLk3i0u4WqiN266Cnjbd83WBFj8yHF+aQJ9ggcj884yEVYGY4SZTU4H797T76&#10;I3xopaRF3pXU/9wzJyhR3w0Ce1eMx5GoSRlPboaouGvL9tpi9noFSO0Ct8zyJEb/oM6idKDfcEWW&#10;MSuamOGYu6ThLK5Cvw24Ylwsl8kJqWlZeDQby2PoOLc479fujTl7AiVS4wnODGWzD9j0vj06y30A&#10;2STg4pz7qSKKUUFaJzxPKxj35lpPXu8/isVvAAAA//8DAFBLAwQUAAYACAAAACEACWkr1OEAAAAI&#10;AQAADwAAAGRycy9kb3ducmV2LnhtbEyPT0/CQBTE7yZ+h80z8SZbF4FS+kpIE2Ji5ABy8bbtPtrG&#10;/VO7C1Q/vetJj5OZzPwmX49GswsNvnMW4XGSACNbO9XZBuH4tn1IgfkgrZLaWUL4Ig/r4vYml5ly&#10;V7unyyE0LJZYn0mENoQ+49zXLRnpJ64nG72TG4wMUQ4NV4O8xnKjuUiSOTeys3GhlT2VLdUfh7NB&#10;eCm3O7mvhEm/dfn8etr0n8f3GeL93bhZAQs0hr8w/OJHdCgiU+XOVnmmEdKnGESYzxbAoi1EugRW&#10;IUzFdAG8yPn/A8UPAAAA//8DAFBLAQItABQABgAIAAAAIQC2gziS/gAAAOEBAAATAAAAAAAAAAAA&#10;AAAAAAAAAABbQ29udGVudF9UeXBlc10ueG1sUEsBAi0AFAAGAAgAAAAhADj9If/WAAAAlAEAAAsA&#10;AAAAAAAAAAAAAAAALwEAAF9yZWxzLy5yZWxzUEsBAi0AFAAGAAgAAAAhAHYSZnA8AgAAcAQAAA4A&#10;AAAAAAAAAAAAAAAALgIAAGRycy9lMm9Eb2MueG1sUEsBAi0AFAAGAAgAAAAhAAlpK9ThAAAACAEA&#10;AA8AAAAAAAAAAAAAAAAAlgQAAGRycy9kb3ducmV2LnhtbFBLBQYAAAAABAAEAPMAAACkBQAAAAA=&#10;" filled="f" stroked="f" strokeweight=".5pt">
                <v:textbox>
                  <w:txbxContent>
                    <w:p w:rsidR="00E0113E" w:rsidRDefault="00E0113E" w:rsidP="004449BF">
                      <w:pPr>
                        <w:jc w:val="center"/>
                        <w:rPr>
                          <w:b/>
                        </w:rPr>
                      </w:pPr>
                      <w:r>
                        <w:rPr>
                          <w:b/>
                        </w:rPr>
                        <w:t xml:space="preserve">GOBIERNO FEDERAL </w:t>
                      </w:r>
                      <w:r w:rsidRPr="00531EF9">
                        <w:rPr>
                          <w:b/>
                        </w:rPr>
                        <w:t>FONDO DE PARTICIPACIONES</w:t>
                      </w:r>
                      <w:r>
                        <w:rPr>
                          <w:b/>
                        </w:rPr>
                        <w:t xml:space="preserve"> PARA</w:t>
                      </w:r>
                    </w:p>
                    <w:p w:rsidR="00E0113E" w:rsidRDefault="00E0113E" w:rsidP="004449BF">
                      <w:pPr>
                        <w:jc w:val="center"/>
                        <w:rPr>
                          <w:b/>
                        </w:rPr>
                      </w:pPr>
                      <w:r>
                        <w:rPr>
                          <w:b/>
                        </w:rPr>
                        <w:t>BAJA CALIFORNIA</w:t>
                      </w:r>
                    </w:p>
                    <w:p w:rsidR="00E0113E" w:rsidRPr="00531EF9" w:rsidRDefault="00E0113E" w:rsidP="004449BF">
                      <w:pPr>
                        <w:jc w:val="center"/>
                        <w:rPr>
                          <w:b/>
                        </w:rPr>
                      </w:pPr>
                      <w:r w:rsidRPr="004449BF">
                        <w:rPr>
                          <w:b/>
                        </w:rPr>
                        <w:t>$21,061´497,319</w:t>
                      </w:r>
                    </w:p>
                  </w:txbxContent>
                </v:textbox>
              </v:shape>
            </w:pict>
          </mc:Fallback>
        </mc:AlternateContent>
      </w:r>
      <w:r w:rsidR="004449BF">
        <w:rPr>
          <w:rFonts w:ascii="Tahoma" w:hAnsi="Tahoma" w:cs="Tahoma"/>
          <w:noProof/>
          <w:sz w:val="24"/>
          <w:szCs w:val="24"/>
          <w:lang w:val="en-US"/>
        </w:rPr>
        <mc:AlternateContent>
          <mc:Choice Requires="wps">
            <w:drawing>
              <wp:anchor distT="0" distB="0" distL="114300" distR="114300" simplePos="0" relativeHeight="251653632" behindDoc="0" locked="0" layoutInCell="1" allowOverlap="1" wp14:anchorId="1531B704" wp14:editId="2F46C8C1">
                <wp:simplePos x="0" y="0"/>
                <wp:positionH relativeFrom="column">
                  <wp:posOffset>3872865</wp:posOffset>
                </wp:positionH>
                <wp:positionV relativeFrom="paragraph">
                  <wp:posOffset>1545590</wp:posOffset>
                </wp:positionV>
                <wp:extent cx="1343025" cy="819150"/>
                <wp:effectExtent l="0" t="0" r="9525" b="0"/>
                <wp:wrapNone/>
                <wp:docPr id="28" name="Rectángulo 28"/>
                <wp:cNvGraphicFramePr/>
                <a:graphic xmlns:a="http://schemas.openxmlformats.org/drawingml/2006/main">
                  <a:graphicData uri="http://schemas.microsoft.com/office/word/2010/wordprocessingShape">
                    <wps:wsp>
                      <wps:cNvSpPr/>
                      <wps:spPr>
                        <a:xfrm>
                          <a:off x="0" y="0"/>
                          <a:ext cx="1343025" cy="819150"/>
                        </a:xfrm>
                        <a:prstGeom prst="rect">
                          <a:avLst/>
                        </a:prstGeom>
                        <a:solidFill>
                          <a:srgbClr val="9BBB59">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3E500A" id="Rectángulo 28" o:spid="_x0000_s1026" style="position:absolute;margin-left:304.95pt;margin-top:121.7pt;width:105.75pt;height: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EeAIAANcEAAAOAAAAZHJzL2Uyb0RvYy54bWysVM1OGzEQvlfqO1i+l90NSSERGxRAVJUo&#10;oELFeeL1/ki2x7WdbOjb8Cx9sY69G6C0p6oX74xnPD/ffLMnpzut2FY636EpeXGQcyaNwKozTcm/&#10;3V9+OObMBzAVKDSy5I/S89Pl+3cnvV3ICbaoKukYBTF+0duStyHYRZZ50UoN/gCtNGSs0WkIpLom&#10;qxz0FF2rbJLnH7MeXWUdCuk93V4MRr5M8etainBT114GpkpOtYV0unSu45ktT2DROLBtJ8Yy4B+q&#10;0NAZSvoc6gICsI3r/gilO+HQYx0OBOoM67oTMvVA3RT5m27uWrAy9ULgePsMk/9/YcX19taxrir5&#10;hCZlQNOMvhJqP59Ms1HI6JYg6q1fkOedvXWj5kmM/e5qp+OXOmG7BOvjM6xyF5igy+JwephPZpwJ&#10;sh0X82KWcM9eXlvnwyeJmkWh5I4KSGjC9soHykiue5eYzKPqqstOqaS4Zn2uHNsCjXh+dnY2m6e3&#10;aqO/YDVcH83yfJ/TD/4p6G+BlGE9wTCbkisTQGSsFQQStSV4vGk4A9UQy0VwKYPBWENiUKzuAnw7&#10;pEthI25UtzKxSJmoODYT0Rzwi9Iaq0cagcOBm96Ky46iXYEPt+CIjFQNLVi4oaNWSCXiKHHWovvx&#10;t/voTxwhK2c9kZvK/74BJzlTnw2xZ15Mp3EbkjKdHU1Ica8t69cWs9HnSOAWtMpWJDH6B7UXa4f6&#10;gfZwFbOSCYyg3ANQo3IehqWjTRZytUputAEWwpW5syIGjzhFHO93D+DsSIVAJLrG/SLA4g0jBt/4&#10;0uBqE7DuEl1ecKUZRIW2J01j3PS4nq/15PXyP1r+AgAA//8DAFBLAwQUAAYACAAAACEA4BGvquMA&#10;AAALAQAADwAAAGRycy9kb3ducmV2LnhtbEyPy2rDMBBF94X+g5hCd40cR3k5HodSaCE0m6am4J0i&#10;KbapJRlLSdy/73SV7maYw51z8+1oO3YxQ2i9Q5hOEmDGKa9bVyOUn69PK2AhSqdl551B+DEBtsX9&#10;XS4z7a/uw1wOsWYU4kImEZoY+4zzoBpjZZj43ji6nfxgZaR1qLke5JXCbcfTJFlwK1tHHxrZm5fG&#10;qO/D2SKosqpEtVPzeSnexv1Shvev3R7x8WF83gCLZow3GP70SR0Kcjr6s9OBdQiLZL0mFCEVMwGM&#10;iFU6peGIMFumAniR8/8dil8AAAD//wMAUEsBAi0AFAAGAAgAAAAhALaDOJL+AAAA4QEAABMAAAAA&#10;AAAAAAAAAAAAAAAAAFtDb250ZW50X1R5cGVzXS54bWxQSwECLQAUAAYACAAAACEAOP0h/9YAAACU&#10;AQAACwAAAAAAAAAAAAAAAAAvAQAAX3JlbHMvLnJlbHNQSwECLQAUAAYACAAAACEAvtzQxHgCAADX&#10;BAAADgAAAAAAAAAAAAAAAAAuAgAAZHJzL2Uyb0RvYy54bWxQSwECLQAUAAYACAAAACEA4BGvquMA&#10;AAALAQAADwAAAAAAAAAAAAAAAADSBAAAZHJzL2Rvd25yZXYueG1sUEsFBgAAAAAEAAQA8wAAAOIF&#10;AAAAAA==&#10;" fillcolor="#77933c" stroked="f" strokeweight="2pt"/>
            </w:pict>
          </mc:Fallback>
        </mc:AlternateContent>
      </w:r>
      <w:r w:rsidR="004449BF">
        <w:rPr>
          <w:rFonts w:ascii="Tahoma" w:hAnsi="Tahoma" w:cs="Tahoma"/>
          <w:noProof/>
          <w:sz w:val="24"/>
          <w:szCs w:val="24"/>
          <w:lang w:val="en-US"/>
        </w:rPr>
        <mc:AlternateContent>
          <mc:Choice Requires="wps">
            <w:drawing>
              <wp:anchor distT="0" distB="0" distL="114300" distR="114300" simplePos="0" relativeHeight="251656704" behindDoc="0" locked="0" layoutInCell="1" allowOverlap="1" wp14:anchorId="499065B6" wp14:editId="439AC98A">
                <wp:simplePos x="0" y="0"/>
                <wp:positionH relativeFrom="column">
                  <wp:posOffset>3930015</wp:posOffset>
                </wp:positionH>
                <wp:positionV relativeFrom="paragraph">
                  <wp:posOffset>1697990</wp:posOffset>
                </wp:positionV>
                <wp:extent cx="1219200" cy="4762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219200" cy="476250"/>
                        </a:xfrm>
                        <a:prstGeom prst="rect">
                          <a:avLst/>
                        </a:prstGeom>
                        <a:noFill/>
                        <a:ln w="6350">
                          <a:noFill/>
                        </a:ln>
                        <a:effectLst/>
                      </wps:spPr>
                      <wps:txbx>
                        <w:txbxContent>
                          <w:p w:rsidR="00E0113E" w:rsidRPr="00296252" w:rsidRDefault="00E0113E" w:rsidP="004449BF">
                            <w:pPr>
                              <w:spacing w:after="0" w:line="240" w:lineRule="auto"/>
                              <w:jc w:val="center"/>
                              <w:rPr>
                                <w:b/>
                                <w:sz w:val="24"/>
                              </w:rPr>
                            </w:pPr>
                            <w:r w:rsidRPr="00296252">
                              <w:rPr>
                                <w:b/>
                                <w:sz w:val="24"/>
                              </w:rPr>
                              <w:t>MUNICIPIOS</w:t>
                            </w:r>
                          </w:p>
                          <w:p w:rsidR="00E0113E" w:rsidRPr="00296252" w:rsidRDefault="00E0113E" w:rsidP="004449BF">
                            <w:pPr>
                              <w:spacing w:after="0" w:line="240" w:lineRule="auto"/>
                              <w:jc w:val="center"/>
                              <w:rPr>
                                <w:b/>
                                <w:sz w:val="24"/>
                              </w:rPr>
                            </w:pPr>
                            <w:r w:rsidRPr="00296252">
                              <w:rPr>
                                <w:b/>
                                <w:sz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065B6" id="Cuadro de texto 29" o:spid="_x0000_s1032" type="#_x0000_t202" style="position:absolute;margin-left:309.45pt;margin-top:133.7pt;width:96pt;height: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x/OwIAAG8EAAAOAAAAZHJzL2Uyb0RvYy54bWysVFFv2jAQfp+0/2D5fQQySktEqBgV0yTU&#10;VqJTn41jk0i2z7MNCfv1OztAWbenaS/O2Xc+333fd5ndd1qRg3C+AVPS0WBIiTAcqsbsSvr9ZfXp&#10;jhIfmKmYAiNKehSe3s8/fpi1thA51KAq4QgmMb5obUnrEGyRZZ7XQjM/ACsMOiU4zQJu3S6rHGsx&#10;u1ZZPhxOshZcZR1w4T2ePvROOk/5pRQ8PEnpRSCqpFhbSKtL6zau2XzGip1jtm74qQz2D1Vo1hh8&#10;9JLqgQVG9q75I5VuuAMPMgw46AykbLhIPWA3o+G7bjY1syL1guB4e4HJ/7+0/PHw7EhTlTSfUmKY&#10;Ro6We1Y5IJUgQXQBCHoQptb6AqM3FuND9wU6pPt87vEwdt9Jp+MX+yLoR8CPF5AxFeHxUj6aInOU&#10;cPSNbyf5TWIhe7ttnQ9fBWgSjZI6JDFhyw5rH7ASDD2HxMcMrBqlEpHKkLakk8+Y8jcP3lAmnogk&#10;iVOa2FFfebRCt+0SEJNzV1uojtisg1413vJVgxWtmQ/PzKFMsAmUfnjCRSrAl+FkUVKD+/m38xiP&#10;7KGXkhZlV1L/Y8+coER9M8jrdDQeR52mzfjmNseNu/Zsrz1mr5eAyh7hkFmezBgf1NmUDvQrTsgi&#10;voouZji+XdJwNpehHwacMC4WixSEyrQsrM3G8pg64hbxfulembMnUqIyHuEsUFa846aP7TlY7API&#10;JhEXce5RRRbjBlWd+DxNYByb632KevtPzH8BAAD//wMAUEsDBBQABgAIAAAAIQC8fajP4gAAAAsB&#10;AAAPAAAAZHJzL2Rvd25yZXYueG1sTI9NT4NAEIbvJv6HzZh4swuISClD05A0JkYPrb14W9gtEPcD&#10;2W2L/nrHkx5n5sk7z1uuZ6PZWU1+cBYhXkTAlG2dHGyHcHjb3uXAfBBWCu2sQvhSHtbV9VUpCuku&#10;dqfO+9AxCrG+EAh9CGPBuW97ZYRfuFFZuh3dZESgceq4nMSFwo3mSRRl3IjB0odejKruVfuxPxmE&#10;53r7KnZNYvJvXT+9HDfj5+H9AfH2Zt6sgAU1hz8YfvVJHSpyatzJSs80QhbnS0IRkuwxBUZEHke0&#10;aRDu0yQFXpX8f4fqBwAA//8DAFBLAQItABQABgAIAAAAIQC2gziS/gAAAOEBAAATAAAAAAAAAAAA&#10;AAAAAAAAAABbQ29udGVudF9UeXBlc10ueG1sUEsBAi0AFAAGAAgAAAAhADj9If/WAAAAlAEAAAsA&#10;AAAAAAAAAAAAAAAALwEAAF9yZWxzLy5yZWxzUEsBAi0AFAAGAAgAAAAhAMJPXH87AgAAbwQAAA4A&#10;AAAAAAAAAAAAAAAALgIAAGRycy9lMm9Eb2MueG1sUEsBAi0AFAAGAAgAAAAhALx9qM/iAAAACwEA&#10;AA8AAAAAAAAAAAAAAAAAlQQAAGRycy9kb3ducmV2LnhtbFBLBQYAAAAABAAEAPMAAACkBQAAAAA=&#10;" filled="f" stroked="f" strokeweight=".5pt">
                <v:textbox>
                  <w:txbxContent>
                    <w:p w:rsidR="00E0113E" w:rsidRPr="00296252" w:rsidRDefault="00E0113E" w:rsidP="004449BF">
                      <w:pPr>
                        <w:spacing w:after="0" w:line="240" w:lineRule="auto"/>
                        <w:jc w:val="center"/>
                        <w:rPr>
                          <w:b/>
                          <w:sz w:val="24"/>
                        </w:rPr>
                      </w:pPr>
                      <w:r w:rsidRPr="00296252">
                        <w:rPr>
                          <w:b/>
                          <w:sz w:val="24"/>
                        </w:rPr>
                        <w:t>MUNICIPIOS</w:t>
                      </w:r>
                    </w:p>
                    <w:p w:rsidR="00E0113E" w:rsidRPr="00296252" w:rsidRDefault="00E0113E" w:rsidP="004449BF">
                      <w:pPr>
                        <w:spacing w:after="0" w:line="240" w:lineRule="auto"/>
                        <w:jc w:val="center"/>
                        <w:rPr>
                          <w:b/>
                          <w:sz w:val="24"/>
                        </w:rPr>
                      </w:pPr>
                      <w:r w:rsidRPr="00296252">
                        <w:rPr>
                          <w:b/>
                          <w:sz w:val="24"/>
                        </w:rPr>
                        <w:t>20%</w:t>
                      </w:r>
                    </w:p>
                  </w:txbxContent>
                </v:textbox>
              </v:shape>
            </w:pict>
          </mc:Fallback>
        </mc:AlternateContent>
      </w:r>
      <w:r w:rsidR="004449BF" w:rsidRPr="00296252">
        <w:rPr>
          <w:rFonts w:ascii="Tahoma" w:hAnsi="Tahoma" w:cs="Tahoma"/>
          <w:noProof/>
          <w:sz w:val="24"/>
          <w:szCs w:val="24"/>
          <w:lang w:val="en-US"/>
        </w:rPr>
        <mc:AlternateContent>
          <mc:Choice Requires="wps">
            <w:drawing>
              <wp:anchor distT="0" distB="0" distL="114300" distR="114300" simplePos="0" relativeHeight="251658752" behindDoc="0" locked="0" layoutInCell="1" allowOverlap="1" wp14:anchorId="2432857B" wp14:editId="41378B10">
                <wp:simplePos x="0" y="0"/>
                <wp:positionH relativeFrom="column">
                  <wp:posOffset>4015740</wp:posOffset>
                </wp:positionH>
                <wp:positionV relativeFrom="paragraph">
                  <wp:posOffset>126365</wp:posOffset>
                </wp:positionV>
                <wp:extent cx="1085850" cy="13620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85850" cy="1362075"/>
                        </a:xfrm>
                        <a:prstGeom prst="rect">
                          <a:avLst/>
                        </a:prstGeom>
                        <a:noFill/>
                        <a:ln w="6350">
                          <a:noFill/>
                        </a:ln>
                        <a:effectLst/>
                      </wps:spPr>
                      <wps:txbx>
                        <w:txbxContent>
                          <w:p w:rsidR="00E0113E" w:rsidRDefault="00E0113E" w:rsidP="004449BF">
                            <w:pPr>
                              <w:jc w:val="center"/>
                              <w:rPr>
                                <w:b/>
                                <w:color w:val="FFFFFF" w:themeColor="background1"/>
                                <w:sz w:val="24"/>
                                <w:szCs w:val="24"/>
                              </w:rPr>
                            </w:pPr>
                            <w:r w:rsidRPr="00296252">
                              <w:rPr>
                                <w:b/>
                                <w:color w:val="FFFFFF" w:themeColor="background1"/>
                                <w:sz w:val="24"/>
                                <w:szCs w:val="24"/>
                              </w:rPr>
                              <w:t>GOBIERNO DEL ESTADO DE BAJA CALIFORNIA</w:t>
                            </w:r>
                            <w:r>
                              <w:rPr>
                                <w:b/>
                                <w:color w:val="FFFFFF" w:themeColor="background1"/>
                                <w:sz w:val="24"/>
                                <w:szCs w:val="24"/>
                              </w:rPr>
                              <w:t>.</w:t>
                            </w:r>
                          </w:p>
                          <w:p w:rsidR="00E0113E" w:rsidRPr="00296252" w:rsidRDefault="00E0113E" w:rsidP="004449BF">
                            <w:pPr>
                              <w:jc w:val="center"/>
                              <w:rPr>
                                <w:b/>
                                <w:color w:val="FFFFFF" w:themeColor="background1"/>
                                <w:sz w:val="24"/>
                                <w:szCs w:val="24"/>
                              </w:rPr>
                            </w:pPr>
                            <w:r>
                              <w:rPr>
                                <w:b/>
                                <w:color w:val="FFFFFF" w:themeColor="background1"/>
                                <w:sz w:val="24"/>
                                <w:szCs w:val="24"/>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2857B" id="Cuadro de texto 30" o:spid="_x0000_s1033" type="#_x0000_t202" style="position:absolute;margin-left:316.2pt;margin-top:9.95pt;width:85.5pt;height:10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h9OgIAAHAEAAAOAAAAZHJzL2Uyb0RvYy54bWysVE2P2jAQvVfqf7B8LwmfSyPCirKiqoR2&#10;V2KrPRvHJpEcj2sbEvrrO3YIS7c9Vb2Ysd/k2fPeDIv7tlbkJKyrQOd0OEgpEZpDUelDTr+/bD7N&#10;KXGe6YIp0CKnZ+Ho/fLjh0VjMjGCElQhLEES7bLG5LT03mRJ4ngpauYGYIRGUIKtmcetPSSFZQ2y&#10;1yoZpeksacAWxgIXzuHpQwfSZeSXUnD/JKUTnqic4tt8XG1c92FNlguWHSwzZcUvz2D/8IqaVRov&#10;vVI9MM/I0VZ/UNUVt+BA+gGHOgEpKy5iDVjNMH1Xza5kRsRaUBxnrjK5/0fLH0/PllRFTscoj2Y1&#10;erQ+ssICKQTxovVAEEGZGuMyzN4ZzPftF2jR7v7c4WGovpW2Dr9YF0EcGc9XkZGK8PBROp/Opwhx&#10;xIbj2Si9mwae5O1zY53/KqAmIcipRRejuOy0db5L7VPCbRo2lVLRSaVJk9PZGPl/Q5Bc6XAiYk9c&#10;aEJJ3dND5Nt9G5W468vaQ3HGai10beMM31T4oi1z/plZ7BOsAnvfP+EiFeDNcIkoKcH+/Nt5yEf7&#10;EKWkwb7LqftxZFZQor5pNPbzcDJBWh83k+ndCDf2FtnfIvpYrwFbe4hTZngMQ75XfSgt1K84Iqtw&#10;K0JMc7w7p74P176bBhwxLlarmIStaZjf6p3hgTroFvR+aV+ZNRdTQms8Qt+hLHvnTZfbebA6epBV&#10;NC7o3KmKhocNtnW0/jKCYW5u9zHr7Y9i+QsAAP//AwBQSwMEFAAGAAgAAAAhAKHCd6vhAAAACgEA&#10;AA8AAABkcnMvZG93bnJldi54bWxMj8FOg0AQhu8mvsNmTLzZRcCGIkvTkDQmRg+tvXgb2C0Q2Vlk&#10;ty369I4nPc78X/75pljPdhBnM/nekYL7RQTCUON0T62Cw9v2LgPhA5LGwZFR8GU8rMvrqwJz7S60&#10;M+d9aAWXkM9RQRfCmEvpm85Y9As3GuLs6CaLgceplXrCC5fbQcZRtJQWe+ILHY6m6kzzsT9ZBc/V&#10;9hV3dWyz76F6ejluxs/D+4NStzfz5hFEMHP4g+FXn9WhZKfanUh7MShYJnHKKAerFQgGsijhRa0g&#10;TtIUZFnI/y+UPwAAAP//AwBQSwECLQAUAAYACAAAACEAtoM4kv4AAADhAQAAEwAAAAAAAAAAAAAA&#10;AAAAAAAAW0NvbnRlbnRfVHlwZXNdLnhtbFBLAQItABQABgAIAAAAIQA4/SH/1gAAAJQBAAALAAAA&#10;AAAAAAAAAAAAAC8BAABfcmVscy8ucmVsc1BLAQItABQABgAIAAAAIQDYK1h9OgIAAHAEAAAOAAAA&#10;AAAAAAAAAAAAAC4CAABkcnMvZTJvRG9jLnhtbFBLAQItABQABgAIAAAAIQChwner4QAAAAoBAAAP&#10;AAAAAAAAAAAAAAAAAJQEAABkcnMvZG93bnJldi54bWxQSwUGAAAAAAQABADzAAAAogUAAAAA&#10;" filled="f" stroked="f" strokeweight=".5pt">
                <v:textbox>
                  <w:txbxContent>
                    <w:p w:rsidR="00E0113E" w:rsidRDefault="00E0113E" w:rsidP="004449BF">
                      <w:pPr>
                        <w:jc w:val="center"/>
                        <w:rPr>
                          <w:b/>
                          <w:color w:val="FFFFFF" w:themeColor="background1"/>
                          <w:sz w:val="24"/>
                          <w:szCs w:val="24"/>
                        </w:rPr>
                      </w:pPr>
                      <w:r w:rsidRPr="00296252">
                        <w:rPr>
                          <w:b/>
                          <w:color w:val="FFFFFF" w:themeColor="background1"/>
                          <w:sz w:val="24"/>
                          <w:szCs w:val="24"/>
                        </w:rPr>
                        <w:t>GOBIERNO DEL ESTADO DE BAJA CALIFORNIA</w:t>
                      </w:r>
                      <w:r>
                        <w:rPr>
                          <w:b/>
                          <w:color w:val="FFFFFF" w:themeColor="background1"/>
                          <w:sz w:val="24"/>
                          <w:szCs w:val="24"/>
                        </w:rPr>
                        <w:t>.</w:t>
                      </w:r>
                    </w:p>
                    <w:p w:rsidR="00E0113E" w:rsidRPr="00296252" w:rsidRDefault="00E0113E" w:rsidP="004449BF">
                      <w:pPr>
                        <w:jc w:val="center"/>
                        <w:rPr>
                          <w:b/>
                          <w:color w:val="FFFFFF" w:themeColor="background1"/>
                          <w:sz w:val="24"/>
                          <w:szCs w:val="24"/>
                        </w:rPr>
                      </w:pPr>
                      <w:r>
                        <w:rPr>
                          <w:b/>
                          <w:color w:val="FFFFFF" w:themeColor="background1"/>
                          <w:sz w:val="24"/>
                          <w:szCs w:val="24"/>
                        </w:rPr>
                        <w:t>80%</w:t>
                      </w:r>
                    </w:p>
                  </w:txbxContent>
                </v:textbox>
              </v:shape>
            </w:pict>
          </mc:Fallback>
        </mc:AlternateContent>
      </w:r>
      <w:r w:rsidR="004449BF">
        <w:rPr>
          <w:rFonts w:ascii="Tahoma" w:hAnsi="Tahoma" w:cs="Tahoma"/>
          <w:noProof/>
          <w:sz w:val="24"/>
          <w:szCs w:val="24"/>
          <w:lang w:val="en-US"/>
        </w:rPr>
        <mc:AlternateContent>
          <mc:Choice Requires="wps">
            <w:drawing>
              <wp:anchor distT="0" distB="0" distL="114300" distR="114300" simplePos="0" relativeHeight="251650560" behindDoc="0" locked="0" layoutInCell="1" allowOverlap="1" wp14:anchorId="0ADEB451" wp14:editId="1CB83030">
                <wp:simplePos x="0" y="0"/>
                <wp:positionH relativeFrom="column">
                  <wp:posOffset>3381375</wp:posOffset>
                </wp:positionH>
                <wp:positionV relativeFrom="paragraph">
                  <wp:posOffset>8890</wp:posOffset>
                </wp:positionV>
                <wp:extent cx="438150" cy="2295525"/>
                <wp:effectExtent l="0" t="0" r="19050" b="28575"/>
                <wp:wrapNone/>
                <wp:docPr id="25" name="Cerrar llave 25"/>
                <wp:cNvGraphicFramePr/>
                <a:graphic xmlns:a="http://schemas.openxmlformats.org/drawingml/2006/main">
                  <a:graphicData uri="http://schemas.microsoft.com/office/word/2010/wordprocessingShape">
                    <wps:wsp>
                      <wps:cNvSpPr/>
                      <wps:spPr>
                        <a:xfrm>
                          <a:off x="0" y="0"/>
                          <a:ext cx="438150" cy="2295525"/>
                        </a:xfrm>
                        <a:prstGeom prst="rightBrace">
                          <a:avLst/>
                        </a:prstGeom>
                        <a:noFill/>
                        <a:ln w="22225"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F0A07" id="Cerrar llave 25" o:spid="_x0000_s1026" type="#_x0000_t88" style="position:absolute;margin-left:266.25pt;margin-top:.7pt;width:34.5pt;height:180.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j/cgIAAN4EAAAOAAAAZHJzL2Uyb0RvYy54bWysVE1v2zAMvQ/YfxB0X+148dYGdYosQYcB&#10;XRugHXpmZPkD0NcoJU7360fJbhusOw3LQSFF6lF8evTl1VErdpDoe2sqPjvLOZNG2Lo3bcV/PFx/&#10;OOfMBzA1KGtkxZ+k51fL9+8uB7eQhe2sqiUyAjF+MbiKdyG4RZZ50UkN/sw6aSjYWNQQyMU2qxEG&#10;QtcqK/L8UzZYrB1aIb2n3c0Y5MuE3zRShLum8TIwVXG6W0grpnUX12x5CYsWwXW9mK4B/3ALDb2h&#10;oi9QGwjA9ti/gdK9QOttE86E1Zltml7I1AN1M8v/6Oa+AydTL0SOdy80+f8HK24PW2R9XfGi5MyA&#10;pjdaS0RAphQcJKNt4mhwfkGp926Lk+fJjA0fG9Txn1phx8Tr0wuv8hiYoM35x/NZSewLChXFRVmO&#10;oNnraYc+fJVWs2hUHPu2C18QROweFnC48YHq0oHnxLht7HWvVHpBZdgQsYvYhQASUqMgkKkdteZN&#10;yxmolhQqAiZIb1Vfx+MRyGO7WytkByCVrPMyn29Sktrr77Yet8ucfpEKusSUP9qnQPF2G/DdeCTV&#10;mI4oEwvJpMipmcjpyGK0drZ+opdAO0rUO3HdE9oN+LAFJE0SfzRn4Y6WRlnq1k4WZ53FX3/bj/kk&#10;FYpyNpDGiYmfe0DJmfpmSEQXs/k8DkVy5uXnghw8jexOI2av15YImtFEO5HMmB/Us9mg1Y80jqtY&#10;lUJgBNUeOZ+cdRhnjwZayNUqpdEgOAg35t6JCB55ijw+HB8B3SSIQFK6tc/z8EYRY+6oidU+2KZP&#10;cnnllZ4qOjRE6dGmgY9TeuqnrNfP0vI3AAAA//8DAFBLAwQUAAYACAAAACEAjKZYht4AAAAJAQAA&#10;DwAAAGRycy9kb3ducmV2LnhtbEyPwU7DMBBE70j8g7VI3KjdtI1IGqeqkJAQ4kLLgeM23jopsR3F&#10;bhv+nuUEx9Ebzb6tNpPrxYXG2AWvYT5TIMg3wXTeavjYPz88gogJvcE+eNLwTRE29e1NhaUJV/9O&#10;l12ygkd8LFFDm9JQShmblhzGWRjIMzuG0WHiOFppRrzyuOtlplQuHXaeL7Q40FNLzdfu7DQU2csS&#10;89Pr51tnh8IqdQrbdq/1/d20XYNINKW/MvzqszrU7HQIZ2+i6DWsFtmKqwyWIJjnas75oGGRZwXI&#10;upL/P6h/AAAA//8DAFBLAQItABQABgAIAAAAIQC2gziS/gAAAOEBAAATAAAAAAAAAAAAAAAAAAAA&#10;AABbQ29udGVudF9UeXBlc10ueG1sUEsBAi0AFAAGAAgAAAAhADj9If/WAAAAlAEAAAsAAAAAAAAA&#10;AAAAAAAALwEAAF9yZWxzLy5yZWxzUEsBAi0AFAAGAAgAAAAhADt1yP9yAgAA3gQAAA4AAAAAAAAA&#10;AAAAAAAALgIAAGRycy9lMm9Eb2MueG1sUEsBAi0AFAAGAAgAAAAhAIymWIbeAAAACQEAAA8AAAAA&#10;AAAAAAAAAAAAzAQAAGRycy9kb3ducmV2LnhtbFBLBQYAAAAABAAEAPMAAADXBQAAAAA=&#10;" adj="344" strokecolor="#632523" strokeweight="1.75pt"/>
            </w:pict>
          </mc:Fallback>
        </mc:AlternateContent>
      </w:r>
      <w:r w:rsidR="004449BF">
        <w:rPr>
          <w:rFonts w:ascii="Tahoma" w:hAnsi="Tahoma" w:cs="Tahoma"/>
          <w:sz w:val="24"/>
          <w:szCs w:val="24"/>
        </w:rPr>
        <w:t xml:space="preserve">                                         </w:t>
      </w:r>
      <w:r w:rsidR="004449BF">
        <w:rPr>
          <w:rFonts w:ascii="Tahoma" w:hAnsi="Tahoma" w:cs="Tahoma"/>
          <w:noProof/>
          <w:sz w:val="24"/>
          <w:szCs w:val="24"/>
          <w:lang w:val="en-US"/>
        </w:rPr>
        <mc:AlternateContent>
          <mc:Choice Requires="wps">
            <w:drawing>
              <wp:inline distT="0" distB="0" distL="0" distR="0" wp14:anchorId="7E0EC13C" wp14:editId="171822CB">
                <wp:extent cx="1343025" cy="2352675"/>
                <wp:effectExtent l="0" t="0" r="9525" b="9525"/>
                <wp:docPr id="2" name="Rectángulo 2"/>
                <wp:cNvGraphicFramePr/>
                <a:graphic xmlns:a="http://schemas.openxmlformats.org/drawingml/2006/main">
                  <a:graphicData uri="http://schemas.microsoft.com/office/word/2010/wordprocessingShape">
                    <wps:wsp>
                      <wps:cNvSpPr/>
                      <wps:spPr>
                        <a:xfrm>
                          <a:off x="0" y="0"/>
                          <a:ext cx="1343025" cy="2352675"/>
                        </a:xfrm>
                        <a:prstGeom prst="rect">
                          <a:avLst/>
                        </a:prstGeom>
                        <a:solidFill>
                          <a:srgbClr val="C0504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3EEC37" id="Rectángulo 2" o:spid="_x0000_s1026" style="width:105.75pt;height:18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mBdAIAANYEAAAOAAAAZHJzL2Uyb0RvYy54bWysVM1u2zAMvg/YOwi6r3bcuN2MOkWQoMOA&#10;ri3WDj0rsmQbkERNUuJ0b7Nn2YuNkp2063YaloNCihR/Pn70xeVeK7ITzvdgajo7ySkRhkPTm7am&#10;Xx+u3r2nxAdmGqbAiJo+CU8vF2/fXAy2EgV0oBrhCAYxvhpsTbsQbJVlnndCM38CVhg0SnCaBVRd&#10;mzWODRhdq6zI87NsANdYB1x4j7fr0UgXKb6UgodbKb0IRNUUawvpdOncxDNbXLCqdcx2PZ/KYP9Q&#10;hWa9waTHUGsWGNm6/o9QuucOPMhwwkFnIGXPReoBu5nlr7q575gVqRcEx9sjTP7/heU3uztH+qam&#10;BSWGaRzRFwTt5w/TbhWQIgI0WF+h3729c5PmUYzd7qXT8R/7IPsE6tMRVLEPhOPl7HR+mhclJRxt&#10;xWlZnJ2XMWr2/Nw6Hz4K0CQKNXVYQAKT7a59GF0PLjGbB9U3V71SSXHtZqUc2TGc8Cov8/k6vVVb&#10;/Rma8brM8Tfl9KN/yv9bIGXIgAWWc3QlnCEXpWIBRW0RHW9aSphqkeQ8uJTBQKwBy2NVrG7NfDem&#10;S2GndMpEu0hMnJqJcI4ARmkDzRNOwMFITW/5VY/RrpkPd8whF7Ea3K9wi4dUgCXCJFHSgfv+t/vo&#10;jxRBKyUDchvL/7ZlTlCiPhkkz4fZfB6XISnz8rxAxb20bF5azFavAMGd4SZbnsToH9RBlA70I67h&#10;MmZFEzMcc49ATcoqjDuHi8zFcpnccAEsC9fm3vIY/IDjw/6ROTtRISCLbuCwB6x6xYjRN740sNwG&#10;kH2iyzOuOOao4PKkgU+LHrfzpZ68nj9Hi18AAAD//wMAUEsDBBQABgAIAAAAIQCXm8zG3AAAAAUB&#10;AAAPAAAAZHJzL2Rvd25yZXYueG1sTI/BasMwEETvhf6D2EJvjeykaYtrOZRAL7nVCZTcFGtjm0or&#10;Y8mOk6/vNpf0MrDMMvMmX03OihH70HpSkM4SEEiVNy3VCnbbz6c3ECFqMtp6QgVnDLAq7u9ynRl/&#10;oi8cy1gLDqGQaQVNjF0mZagadDrMfIfE3tH3Tkc++1qaXp843Fk5T5IX6XRL3NDoDtcNVj/l4Lhk&#10;cxy3ptxd9vt0fP5eE54XdlDq8WH6eAcRcYq3Z/jDZ3QomOngBzJBWAU8JF6VvXmaLkEcFCxekyXI&#10;Ipf/6YtfAAAA//8DAFBLAQItABQABgAIAAAAIQC2gziS/gAAAOEBAAATAAAAAAAAAAAAAAAAAAAA&#10;AABbQ29udGVudF9UeXBlc10ueG1sUEsBAi0AFAAGAAgAAAAhADj9If/WAAAAlAEAAAsAAAAAAAAA&#10;AAAAAAAALwEAAF9yZWxzLy5yZWxzUEsBAi0AFAAGAAgAAAAhAJj0OYF0AgAA1gQAAA4AAAAAAAAA&#10;AAAAAAAALgIAAGRycy9lMm9Eb2MueG1sUEsBAi0AFAAGAAgAAAAhAJebzMbcAAAABQEAAA8AAAAA&#10;AAAAAAAAAAAAzgQAAGRycy9kb3ducmV2LnhtbFBLBQYAAAAABAAEAPMAAADXBQAAAAA=&#10;" fillcolor="#632523" stroked="f" strokeweight="2pt">
                <w10:anchorlock/>
              </v:rect>
            </w:pict>
          </mc:Fallback>
        </mc:AlternateContent>
      </w:r>
      <w:r w:rsidR="004449BF">
        <w:rPr>
          <w:rFonts w:ascii="Tahoma" w:hAnsi="Tahoma" w:cs="Tahoma"/>
          <w:sz w:val="24"/>
          <w:szCs w:val="24"/>
        </w:rPr>
        <w:t xml:space="preserve">            </w:t>
      </w:r>
      <w:r w:rsidR="004449BF">
        <w:rPr>
          <w:rFonts w:ascii="Tahoma" w:hAnsi="Tahoma" w:cs="Tahoma"/>
          <w:noProof/>
          <w:sz w:val="24"/>
          <w:szCs w:val="24"/>
          <w:lang w:val="en-US"/>
        </w:rPr>
        <mc:AlternateContent>
          <mc:Choice Requires="wps">
            <w:drawing>
              <wp:inline distT="0" distB="0" distL="0" distR="0" wp14:anchorId="13FB934D" wp14:editId="354EA460">
                <wp:extent cx="1343025" cy="2352675"/>
                <wp:effectExtent l="0" t="0" r="9525" b="9525"/>
                <wp:docPr id="24" name="Rectángulo 24"/>
                <wp:cNvGraphicFramePr/>
                <a:graphic xmlns:a="http://schemas.openxmlformats.org/drawingml/2006/main">
                  <a:graphicData uri="http://schemas.microsoft.com/office/word/2010/wordprocessingShape">
                    <wps:wsp>
                      <wps:cNvSpPr/>
                      <wps:spPr>
                        <a:xfrm>
                          <a:off x="0" y="0"/>
                          <a:ext cx="1343025" cy="2352675"/>
                        </a:xfrm>
                        <a:prstGeom prst="rect">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DB82AC" id="Rectángulo 24" o:spid="_x0000_s1026" style="width:105.75pt;height:18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8oeAIAANgEAAAOAAAAZHJzL2Uyb0RvYy54bWysVM1u2zAMvg/YOwi6r3ZcJ1mNOkXQIsOA&#10;bi3WDj0rsmQbkERNUuJ0b7Nn2YuNkp2263YadpFJkeLPx48+vzhoRfbC+R5MTWcnOSXCcGh609b0&#10;6/3m3XtKfGCmYQqMqOmj8PRi9fbN+WArUUAHqhGOYBDjq8HWtAvBVlnmeSc08ydghUGjBKdZQNW1&#10;WePYgNG1yoo8X2QDuMY64MJ7vL0ajXSV4kspeLiR0otAVE2xtpBOl85tPLPVOatax2zX86kM9g9V&#10;aNYbTPoU6ooFRnau/yOU7rkDDzKccNAZSNlzkXrAbmb5q27uOmZF6gXB8fYJJv//wvLP+1tH+qam&#10;RUmJYRpn9AVR+/nDtDsFBG8RosH6Cj3v7K2bNI9i7PcgnY5f7IQcEqyPT7CKQyAcL2en5WlezCnh&#10;aCtO58ViOY9Rs+fn1vnwQYAmUaipwwoSnGx/7cPoenSJ2Tyovtn0SiXFtdtL5cie4Yw3y7NFuUhv&#10;1U5/gma8Xs7zPA0bc/rRP+X/LZAyZMAC5yW6Es6QjVKxgKK2iI83LSVMtUhzHlzKYCDWgOWxKlZ3&#10;xXw3pkthpxaViXaRuDg1E+EcAYzSFppHnIGDkZze8k2P0a6ZD7fMIRuxGtywcIOHVIAlwiRR0oH7&#10;/rf76I8kQSslA7Iby/+2Y05Qoj4apM/ZrCzjOiSlnC8LVNxLy/alxez0JSC4M9xly5MY/YM6itKB&#10;fsBFXMesaGKGY+4RqEm5DOPW4SpzsV4nN1wBy8K1ubM8Bj/ieH94YM5OVAjIos9w3ARWvWLE6Btf&#10;GljvAsg+0eUZVxxzVHB90sCnVY/7+VJPXs8/pNUvAAAA//8DAFBLAwQUAAYACAAAACEA9l+Kl9sA&#10;AAAFAQAADwAAAGRycy9kb3ducmV2LnhtbEyPzU7DMBCE70i8g7VI3KidokIb4lQIqQfEAfXnAbbx&#10;kkTE6yjrpOHtMVzgstJoRjPfFtvZd2qiQdrAFrKFAUVcBddybeF03N2tQUlEdtgFJgtfJLAtr68K&#10;zF248J6mQ6xVKmHJ0UITY59rLVVDHmUReuLkfYTBY0xyqLUb8JLKfaeXxjxojy2nhQZ7emmo+jyM&#10;3oJMddhUZsze1ju9f8fN60lcb+3tzfz8BCrSHP/C8IOf0KFMTOcwshPVWUiPxN+bvGWWrUCdLdw/&#10;mhXostD/6ctvAAAA//8DAFBLAQItABQABgAIAAAAIQC2gziS/gAAAOEBAAATAAAAAAAAAAAAAAAA&#10;AAAAAABbQ29udGVudF9UeXBlc10ueG1sUEsBAi0AFAAGAAgAAAAhADj9If/WAAAAlAEAAAsAAAAA&#10;AAAAAAAAAAAALwEAAF9yZWxzLy5yZWxzUEsBAi0AFAAGAAgAAAAhACovTyh4AgAA2AQAAA4AAAAA&#10;AAAAAAAAAAAALgIAAGRycy9lMm9Eb2MueG1sUEsBAi0AFAAGAAgAAAAhAPZfipfbAAAABQEAAA8A&#10;AAAAAAAAAAAAAAAA0gQAAGRycy9kb3ducmV2LnhtbFBLBQYAAAAABAAEAPMAAADaBQAAAAA=&#10;" fillcolor="#e46c0a" stroked="f" strokeweight="2pt">
                <w10:anchorlock/>
              </v:rect>
            </w:pict>
          </mc:Fallback>
        </mc:AlternateContent>
      </w:r>
    </w:p>
    <w:p w:rsidR="008133F1" w:rsidRDefault="008133F1" w:rsidP="008133F1">
      <w:pPr>
        <w:spacing w:after="0" w:line="240" w:lineRule="auto"/>
        <w:jc w:val="both"/>
        <w:rPr>
          <w:rFonts w:ascii="Tahoma" w:hAnsi="Tahoma" w:cs="Tahoma"/>
          <w:sz w:val="20"/>
          <w:szCs w:val="20"/>
        </w:rPr>
      </w:pPr>
      <w:r w:rsidRPr="008133F1">
        <w:rPr>
          <w:rFonts w:ascii="Tahoma" w:hAnsi="Tahoma" w:cs="Tahoma"/>
          <w:sz w:val="20"/>
          <w:szCs w:val="20"/>
        </w:rPr>
        <w:t>Fuente: Elaboración propia, con información de: CEFP (2017). Recursos Identificados para el Estado de Baja California en el Proyecto de Presupuesto de Egresos de la Federación. Centro de Estudios de las Finanzas Públicas. Cámara de Diputados LXIII</w:t>
      </w:r>
    </w:p>
    <w:p w:rsidR="008133F1" w:rsidRDefault="008133F1" w:rsidP="004449BF">
      <w:pPr>
        <w:spacing w:after="480" w:line="480" w:lineRule="auto"/>
        <w:rPr>
          <w:rFonts w:ascii="Tahoma" w:hAnsi="Tahoma" w:cs="Tahoma"/>
          <w:sz w:val="24"/>
          <w:szCs w:val="24"/>
        </w:rPr>
      </w:pPr>
    </w:p>
    <w:p w:rsidR="00737086" w:rsidRPr="00345BFD" w:rsidRDefault="00737086" w:rsidP="00DC02C5">
      <w:pPr>
        <w:spacing w:after="480" w:line="480" w:lineRule="auto"/>
        <w:jc w:val="both"/>
        <w:rPr>
          <w:rFonts w:ascii="Tahoma" w:hAnsi="Tahoma" w:cs="Tahoma"/>
          <w:sz w:val="24"/>
          <w:szCs w:val="24"/>
        </w:rPr>
      </w:pPr>
      <w:r w:rsidRPr="00345BFD">
        <w:rPr>
          <w:rFonts w:ascii="Tahoma" w:hAnsi="Tahoma" w:cs="Tahoma"/>
          <w:sz w:val="24"/>
          <w:szCs w:val="24"/>
        </w:rPr>
        <w:t>En el Ramo General 28 Participaciones a Entidades los incentivos se fortalecieron con la reforma a la Ley de Coordinación Fiscal aprobada en 2013, principalmente mediante la modificación de la fórmula de distribución del Fondo de Fomento Municipal y la sustitución del Fondo de Fiscalización por el Fondo de Fiscalización y Recaudación. En el primer caso, se incentiva la recaudación coordinada del Impuesto Predial con la finalidad de incrementar la eficacia en el cobro. En el segundo caso, se incorporaron las variables de "ingresos de libre disposición" y "recaudación de impuestos y derechos locales" para incentivar también la recaudación de los mismos y fortalecer con ello las haciendas públicas locales.</w:t>
      </w:r>
    </w:p>
    <w:p w:rsidR="00163E86" w:rsidRDefault="00FA03C4" w:rsidP="00DC02C5">
      <w:pPr>
        <w:spacing w:after="480" w:line="480" w:lineRule="auto"/>
        <w:jc w:val="both"/>
        <w:rPr>
          <w:rFonts w:ascii="Tahoma" w:hAnsi="Tahoma" w:cs="Tahoma"/>
          <w:sz w:val="24"/>
          <w:szCs w:val="24"/>
        </w:rPr>
      </w:pPr>
      <w:r w:rsidRPr="00345BFD">
        <w:rPr>
          <w:rFonts w:ascii="Tahoma" w:eastAsia="Times New Roman" w:hAnsi="Tahoma" w:cs="Tahoma"/>
          <w:color w:val="000000"/>
          <w:sz w:val="24"/>
          <w:szCs w:val="24"/>
          <w:lang w:eastAsia="es-MX"/>
        </w:rPr>
        <w:t>L</w:t>
      </w:r>
      <w:r w:rsidRPr="00345BFD">
        <w:rPr>
          <w:rFonts w:ascii="Tahoma" w:hAnsi="Tahoma" w:cs="Tahoma"/>
          <w:sz w:val="24"/>
          <w:szCs w:val="24"/>
        </w:rPr>
        <w:t>os montos asignados para el Estado de Baja California se presentan a continuación</w:t>
      </w:r>
      <w:r w:rsidR="007A2F4D">
        <w:rPr>
          <w:rFonts w:ascii="Tahoma" w:hAnsi="Tahoma" w:cs="Tahoma"/>
          <w:sz w:val="24"/>
          <w:szCs w:val="24"/>
        </w:rPr>
        <w:t>:</w:t>
      </w:r>
    </w:p>
    <w:tbl>
      <w:tblPr>
        <w:tblStyle w:val="DarkList-Accent2"/>
        <w:tblW w:w="9429" w:type="dxa"/>
        <w:tblBorders>
          <w:top w:val="single" w:sz="24" w:space="0" w:color="E5B8B7" w:themeColor="accent2" w:themeTint="66"/>
          <w:left w:val="single" w:sz="24" w:space="0" w:color="E5B8B7" w:themeColor="accent2" w:themeTint="66"/>
          <w:bottom w:val="single" w:sz="24" w:space="0" w:color="E5B8B7" w:themeColor="accent2" w:themeTint="66"/>
          <w:right w:val="single" w:sz="24" w:space="0" w:color="E5B8B7" w:themeColor="accent2" w:themeTint="66"/>
          <w:insideH w:val="single" w:sz="24" w:space="0" w:color="E5B8B7" w:themeColor="accent2" w:themeTint="66"/>
          <w:insideV w:val="single" w:sz="24" w:space="0" w:color="E5B8B7" w:themeColor="accent2" w:themeTint="66"/>
        </w:tblBorders>
        <w:tblLook w:val="04A0" w:firstRow="1" w:lastRow="0" w:firstColumn="1" w:lastColumn="0" w:noHBand="0" w:noVBand="1"/>
      </w:tblPr>
      <w:tblGrid>
        <w:gridCol w:w="2510"/>
        <w:gridCol w:w="2420"/>
        <w:gridCol w:w="2169"/>
        <w:gridCol w:w="2330"/>
      </w:tblGrid>
      <w:tr w:rsidR="00377775" w:rsidRPr="00345BFD" w:rsidTr="008133F1">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510" w:type="dxa"/>
            <w:tcBorders>
              <w:top w:val="none" w:sz="0" w:space="0" w:color="auto"/>
              <w:left w:val="none" w:sz="0" w:space="0" w:color="auto"/>
              <w:bottom w:val="none" w:sz="0" w:space="0" w:color="auto"/>
              <w:right w:val="none" w:sz="0" w:space="0" w:color="auto"/>
            </w:tcBorders>
            <w:vAlign w:val="center"/>
            <w:hideMark/>
          </w:tcPr>
          <w:p w:rsidR="00377775" w:rsidRPr="00345BFD" w:rsidRDefault="00FA03C4" w:rsidP="00345BFD">
            <w:pPr>
              <w:spacing w:after="120"/>
              <w:jc w:val="center"/>
              <w:rPr>
                <w:rFonts w:ascii="Tahoma" w:eastAsia="Times New Roman" w:hAnsi="Tahoma" w:cs="Tahoma"/>
                <w:sz w:val="20"/>
                <w:szCs w:val="20"/>
                <w:lang w:eastAsia="es-MX"/>
              </w:rPr>
            </w:pPr>
            <w:r w:rsidRPr="00345BFD">
              <w:rPr>
                <w:rFonts w:ascii="Tahoma" w:eastAsia="Times New Roman" w:hAnsi="Tahoma" w:cs="Tahoma"/>
                <w:sz w:val="20"/>
                <w:szCs w:val="20"/>
                <w:lang w:eastAsia="es-MX"/>
              </w:rPr>
              <w:t>DESCRIPCIÓN PROGRAMA PRESUPUESTARIO</w:t>
            </w:r>
          </w:p>
        </w:tc>
        <w:tc>
          <w:tcPr>
            <w:tcW w:w="2420" w:type="dxa"/>
            <w:tcBorders>
              <w:top w:val="none" w:sz="0" w:space="0" w:color="auto"/>
              <w:left w:val="none" w:sz="0" w:space="0" w:color="auto"/>
              <w:bottom w:val="none" w:sz="0" w:space="0" w:color="auto"/>
              <w:right w:val="none" w:sz="0" w:space="0" w:color="auto"/>
            </w:tcBorders>
            <w:vAlign w:val="center"/>
            <w:hideMark/>
          </w:tcPr>
          <w:p w:rsidR="00377775" w:rsidRPr="00345BFD" w:rsidRDefault="00377775" w:rsidP="00345BFD">
            <w:pPr>
              <w:spacing w:after="120"/>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20"/>
                <w:szCs w:val="20"/>
                <w:lang w:eastAsia="es-MX"/>
              </w:rPr>
            </w:pPr>
            <w:r w:rsidRPr="00345BFD">
              <w:rPr>
                <w:rFonts w:ascii="Tahoma" w:eastAsia="Times New Roman" w:hAnsi="Tahoma" w:cs="Tahoma"/>
                <w:sz w:val="20"/>
                <w:szCs w:val="20"/>
                <w:lang w:eastAsia="es-MX"/>
              </w:rPr>
              <w:t xml:space="preserve">MONTO </w:t>
            </w:r>
          </w:p>
          <w:p w:rsidR="00377775" w:rsidRPr="00345BFD" w:rsidRDefault="00377775" w:rsidP="00345BFD">
            <w:pPr>
              <w:spacing w:after="120"/>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s-MX"/>
              </w:rPr>
            </w:pPr>
            <w:r w:rsidRPr="00345BFD">
              <w:rPr>
                <w:rFonts w:ascii="Tahoma" w:eastAsia="Times New Roman" w:hAnsi="Tahoma" w:cs="Tahoma"/>
                <w:sz w:val="20"/>
                <w:szCs w:val="20"/>
                <w:lang w:eastAsia="es-MX"/>
              </w:rPr>
              <w:t>APROBADO</w:t>
            </w:r>
          </w:p>
        </w:tc>
        <w:tc>
          <w:tcPr>
            <w:tcW w:w="2169" w:type="dxa"/>
            <w:tcBorders>
              <w:top w:val="none" w:sz="0" w:space="0" w:color="auto"/>
              <w:left w:val="none" w:sz="0" w:space="0" w:color="auto"/>
              <w:bottom w:val="none" w:sz="0" w:space="0" w:color="auto"/>
              <w:right w:val="none" w:sz="0" w:space="0" w:color="auto"/>
            </w:tcBorders>
            <w:vAlign w:val="center"/>
            <w:hideMark/>
          </w:tcPr>
          <w:p w:rsidR="00377775" w:rsidRPr="00345BFD" w:rsidRDefault="00377775" w:rsidP="00345BFD">
            <w:pPr>
              <w:spacing w:after="120"/>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s-MX"/>
              </w:rPr>
            </w:pPr>
            <w:r w:rsidRPr="00345BFD">
              <w:rPr>
                <w:rFonts w:ascii="Tahoma" w:eastAsia="Times New Roman" w:hAnsi="Tahoma" w:cs="Tahoma"/>
                <w:sz w:val="20"/>
                <w:szCs w:val="20"/>
                <w:lang w:eastAsia="es-MX"/>
              </w:rPr>
              <w:t>MONTO MODIFICADO</w:t>
            </w:r>
          </w:p>
        </w:tc>
        <w:tc>
          <w:tcPr>
            <w:tcW w:w="2330" w:type="dxa"/>
            <w:tcBorders>
              <w:top w:val="none" w:sz="0" w:space="0" w:color="auto"/>
              <w:left w:val="none" w:sz="0" w:space="0" w:color="auto"/>
              <w:bottom w:val="none" w:sz="0" w:space="0" w:color="auto"/>
              <w:right w:val="none" w:sz="0" w:space="0" w:color="auto"/>
            </w:tcBorders>
            <w:vAlign w:val="center"/>
            <w:hideMark/>
          </w:tcPr>
          <w:p w:rsidR="00377775" w:rsidRPr="00345BFD" w:rsidRDefault="00377775" w:rsidP="00345BFD">
            <w:pPr>
              <w:spacing w:after="120"/>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s-MX"/>
              </w:rPr>
            </w:pPr>
            <w:r w:rsidRPr="00345BFD">
              <w:rPr>
                <w:rFonts w:ascii="Tahoma" w:eastAsia="Times New Roman" w:hAnsi="Tahoma" w:cs="Tahoma"/>
                <w:sz w:val="20"/>
                <w:szCs w:val="20"/>
                <w:lang w:eastAsia="es-MX"/>
              </w:rPr>
              <w:t>MONTO EJERCICIO</w:t>
            </w:r>
          </w:p>
        </w:tc>
      </w:tr>
      <w:tr w:rsidR="00377775" w:rsidRPr="00345BFD" w:rsidTr="008133F1">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510" w:type="dxa"/>
            <w:tcBorders>
              <w:top w:val="none" w:sz="0" w:space="0" w:color="auto"/>
              <w:left w:val="none" w:sz="0" w:space="0" w:color="auto"/>
              <w:bottom w:val="none" w:sz="0" w:space="0" w:color="auto"/>
              <w:right w:val="none" w:sz="0" w:space="0" w:color="auto"/>
            </w:tcBorders>
            <w:noWrap/>
            <w:vAlign w:val="center"/>
            <w:hideMark/>
          </w:tcPr>
          <w:p w:rsidR="00377775" w:rsidRPr="00512EF2" w:rsidRDefault="00377775" w:rsidP="00E615A4">
            <w:pPr>
              <w:spacing w:before="120" w:line="360" w:lineRule="auto"/>
              <w:jc w:val="center"/>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Fondo General de Participaciones</w:t>
            </w:r>
          </w:p>
        </w:tc>
        <w:tc>
          <w:tcPr>
            <w:tcW w:w="2420" w:type="dxa"/>
            <w:tcBorders>
              <w:top w:val="none" w:sz="0" w:space="0" w:color="auto"/>
              <w:left w:val="none" w:sz="0" w:space="0" w:color="auto"/>
              <w:bottom w:val="none" w:sz="0" w:space="0" w:color="auto"/>
              <w:right w:val="none" w:sz="0" w:space="0" w:color="auto"/>
            </w:tcBorders>
            <w:noWrap/>
            <w:vAlign w:val="center"/>
            <w:hideMark/>
          </w:tcPr>
          <w:p w:rsidR="00377775" w:rsidRPr="00512EF2" w:rsidRDefault="00377775" w:rsidP="00E615A4">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15,441,041,666.00</w:t>
            </w:r>
          </w:p>
        </w:tc>
        <w:tc>
          <w:tcPr>
            <w:tcW w:w="2169" w:type="dxa"/>
            <w:tcBorders>
              <w:top w:val="none" w:sz="0" w:space="0" w:color="auto"/>
              <w:left w:val="none" w:sz="0" w:space="0" w:color="auto"/>
              <w:bottom w:val="none" w:sz="0" w:space="0" w:color="auto"/>
              <w:right w:val="none" w:sz="0" w:space="0" w:color="auto"/>
            </w:tcBorders>
            <w:noWrap/>
            <w:vAlign w:val="center"/>
            <w:hideMark/>
          </w:tcPr>
          <w:p w:rsidR="00377775" w:rsidRPr="00512EF2" w:rsidRDefault="00377775" w:rsidP="00E615A4">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16,754,921,732.00</w:t>
            </w:r>
          </w:p>
        </w:tc>
        <w:tc>
          <w:tcPr>
            <w:tcW w:w="2330" w:type="dxa"/>
            <w:tcBorders>
              <w:top w:val="none" w:sz="0" w:space="0" w:color="auto"/>
              <w:left w:val="none" w:sz="0" w:space="0" w:color="auto"/>
              <w:bottom w:val="none" w:sz="0" w:space="0" w:color="auto"/>
              <w:right w:val="none" w:sz="0" w:space="0" w:color="auto"/>
            </w:tcBorders>
            <w:noWrap/>
            <w:vAlign w:val="center"/>
            <w:hideMark/>
          </w:tcPr>
          <w:p w:rsidR="00377775" w:rsidRPr="00512EF2" w:rsidRDefault="00377775" w:rsidP="00A344E6">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16,754,9</w:t>
            </w:r>
            <w:r w:rsidR="00A344E6" w:rsidRPr="00512EF2">
              <w:rPr>
                <w:rFonts w:ascii="Tahoma" w:eastAsia="Times New Roman" w:hAnsi="Tahoma" w:cs="Tahoma"/>
                <w:b/>
                <w:sz w:val="20"/>
                <w:szCs w:val="20"/>
                <w:lang w:eastAsia="es-MX"/>
              </w:rPr>
              <w:t>59,891</w:t>
            </w:r>
            <w:r w:rsidRPr="00512EF2">
              <w:rPr>
                <w:rFonts w:ascii="Tahoma" w:eastAsia="Times New Roman" w:hAnsi="Tahoma" w:cs="Tahoma"/>
                <w:b/>
                <w:sz w:val="20"/>
                <w:szCs w:val="20"/>
                <w:lang w:eastAsia="es-MX"/>
              </w:rPr>
              <w:t>.00</w:t>
            </w:r>
          </w:p>
        </w:tc>
      </w:tr>
      <w:tr w:rsidR="00377775" w:rsidRPr="00345BFD" w:rsidTr="008133F1">
        <w:trPr>
          <w:trHeight w:val="724"/>
        </w:trPr>
        <w:tc>
          <w:tcPr>
            <w:cnfStyle w:val="001000000000" w:firstRow="0" w:lastRow="0" w:firstColumn="1" w:lastColumn="0" w:oddVBand="0" w:evenVBand="0" w:oddHBand="0" w:evenHBand="0" w:firstRowFirstColumn="0" w:firstRowLastColumn="0" w:lastRowFirstColumn="0" w:lastRowLastColumn="0"/>
            <w:tcW w:w="2510" w:type="dxa"/>
            <w:tcBorders>
              <w:left w:val="none" w:sz="0" w:space="0" w:color="auto"/>
              <w:bottom w:val="none" w:sz="0" w:space="0" w:color="auto"/>
              <w:right w:val="none" w:sz="0" w:space="0" w:color="auto"/>
            </w:tcBorders>
            <w:noWrap/>
            <w:vAlign w:val="center"/>
            <w:hideMark/>
          </w:tcPr>
          <w:p w:rsidR="00377775" w:rsidRPr="00512EF2" w:rsidRDefault="00377775" w:rsidP="00E615A4">
            <w:pPr>
              <w:spacing w:before="120" w:line="360" w:lineRule="auto"/>
              <w:jc w:val="center"/>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Fondo de Fomento Municipal</w:t>
            </w:r>
          </w:p>
        </w:tc>
        <w:tc>
          <w:tcPr>
            <w:tcW w:w="2420" w:type="dxa"/>
            <w:noWrap/>
            <w:vAlign w:val="center"/>
            <w:hideMark/>
          </w:tcPr>
          <w:p w:rsidR="00377775" w:rsidRPr="00512EF2" w:rsidRDefault="00377775" w:rsidP="00E615A4">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465,763,649.00</w:t>
            </w:r>
          </w:p>
        </w:tc>
        <w:tc>
          <w:tcPr>
            <w:tcW w:w="2169" w:type="dxa"/>
            <w:noWrap/>
            <w:vAlign w:val="center"/>
            <w:hideMark/>
          </w:tcPr>
          <w:p w:rsidR="00377775" w:rsidRPr="00512EF2" w:rsidRDefault="00377775" w:rsidP="00E615A4">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489,507,397.00</w:t>
            </w:r>
          </w:p>
        </w:tc>
        <w:tc>
          <w:tcPr>
            <w:tcW w:w="2330" w:type="dxa"/>
            <w:noWrap/>
            <w:vAlign w:val="center"/>
            <w:hideMark/>
          </w:tcPr>
          <w:p w:rsidR="00377775" w:rsidRPr="00512EF2" w:rsidRDefault="00377775" w:rsidP="00E615A4">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489,507,397.00</w:t>
            </w:r>
          </w:p>
        </w:tc>
      </w:tr>
      <w:tr w:rsidR="00377775" w:rsidRPr="00345BFD" w:rsidTr="008133F1">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2510" w:type="dxa"/>
            <w:tcBorders>
              <w:top w:val="none" w:sz="0" w:space="0" w:color="auto"/>
              <w:left w:val="none" w:sz="0" w:space="0" w:color="auto"/>
              <w:bottom w:val="none" w:sz="0" w:space="0" w:color="auto"/>
              <w:right w:val="none" w:sz="0" w:space="0" w:color="auto"/>
            </w:tcBorders>
            <w:noWrap/>
            <w:vAlign w:val="center"/>
            <w:hideMark/>
          </w:tcPr>
          <w:p w:rsidR="00377775" w:rsidRPr="00512EF2" w:rsidRDefault="00377775" w:rsidP="00E615A4">
            <w:pPr>
              <w:spacing w:before="120" w:line="360" w:lineRule="auto"/>
              <w:jc w:val="center"/>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Otros conceptos participables e incentivos económicos</w:t>
            </w:r>
          </w:p>
        </w:tc>
        <w:tc>
          <w:tcPr>
            <w:tcW w:w="2420" w:type="dxa"/>
            <w:tcBorders>
              <w:top w:val="none" w:sz="0" w:space="0" w:color="auto"/>
              <w:left w:val="none" w:sz="0" w:space="0" w:color="auto"/>
              <w:bottom w:val="none" w:sz="0" w:space="0" w:color="auto"/>
              <w:right w:val="none" w:sz="0" w:space="0" w:color="auto"/>
            </w:tcBorders>
            <w:noWrap/>
            <w:vAlign w:val="center"/>
            <w:hideMark/>
          </w:tcPr>
          <w:p w:rsidR="00377775" w:rsidRPr="00512EF2" w:rsidRDefault="00377775" w:rsidP="00E615A4">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5,096,797,320.00</w:t>
            </w:r>
          </w:p>
        </w:tc>
        <w:tc>
          <w:tcPr>
            <w:tcW w:w="2169" w:type="dxa"/>
            <w:tcBorders>
              <w:top w:val="none" w:sz="0" w:space="0" w:color="auto"/>
              <w:left w:val="none" w:sz="0" w:space="0" w:color="auto"/>
              <w:bottom w:val="none" w:sz="0" w:space="0" w:color="auto"/>
              <w:right w:val="none" w:sz="0" w:space="0" w:color="auto"/>
            </w:tcBorders>
            <w:noWrap/>
            <w:vAlign w:val="center"/>
            <w:hideMark/>
          </w:tcPr>
          <w:p w:rsidR="00377775" w:rsidRPr="00512EF2" w:rsidRDefault="00377775" w:rsidP="00A344E6">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5,5</w:t>
            </w:r>
            <w:r w:rsidR="00A344E6" w:rsidRPr="00512EF2">
              <w:rPr>
                <w:rFonts w:ascii="Tahoma" w:eastAsia="Times New Roman" w:hAnsi="Tahoma" w:cs="Tahoma"/>
                <w:b/>
                <w:sz w:val="20"/>
                <w:szCs w:val="20"/>
                <w:lang w:eastAsia="es-MX"/>
              </w:rPr>
              <w:t>2</w:t>
            </w:r>
            <w:r w:rsidRPr="00512EF2">
              <w:rPr>
                <w:rFonts w:ascii="Tahoma" w:eastAsia="Times New Roman" w:hAnsi="Tahoma" w:cs="Tahoma"/>
                <w:b/>
                <w:sz w:val="20"/>
                <w:szCs w:val="20"/>
                <w:lang w:eastAsia="es-MX"/>
              </w:rPr>
              <w:t>1,</w:t>
            </w:r>
            <w:r w:rsidR="00A344E6" w:rsidRPr="00512EF2">
              <w:rPr>
                <w:rFonts w:ascii="Tahoma" w:eastAsia="Times New Roman" w:hAnsi="Tahoma" w:cs="Tahoma"/>
                <w:b/>
                <w:sz w:val="20"/>
                <w:szCs w:val="20"/>
                <w:lang w:eastAsia="es-MX"/>
              </w:rPr>
              <w:t>79</w:t>
            </w:r>
            <w:r w:rsidRPr="00512EF2">
              <w:rPr>
                <w:rFonts w:ascii="Tahoma" w:eastAsia="Times New Roman" w:hAnsi="Tahoma" w:cs="Tahoma"/>
                <w:b/>
                <w:sz w:val="20"/>
                <w:szCs w:val="20"/>
                <w:lang w:eastAsia="es-MX"/>
              </w:rPr>
              <w:t>7,</w:t>
            </w:r>
            <w:r w:rsidR="00A344E6" w:rsidRPr="00512EF2">
              <w:rPr>
                <w:rFonts w:ascii="Tahoma" w:eastAsia="Times New Roman" w:hAnsi="Tahoma" w:cs="Tahoma"/>
                <w:b/>
                <w:sz w:val="20"/>
                <w:szCs w:val="20"/>
                <w:lang w:eastAsia="es-MX"/>
              </w:rPr>
              <w:t>320</w:t>
            </w:r>
            <w:r w:rsidRPr="00512EF2">
              <w:rPr>
                <w:rFonts w:ascii="Tahoma" w:eastAsia="Times New Roman" w:hAnsi="Tahoma" w:cs="Tahoma"/>
                <w:b/>
                <w:sz w:val="20"/>
                <w:szCs w:val="20"/>
                <w:lang w:eastAsia="es-MX"/>
              </w:rPr>
              <w:t>.00</w:t>
            </w:r>
          </w:p>
        </w:tc>
        <w:tc>
          <w:tcPr>
            <w:tcW w:w="2330" w:type="dxa"/>
            <w:tcBorders>
              <w:top w:val="none" w:sz="0" w:space="0" w:color="auto"/>
              <w:left w:val="none" w:sz="0" w:space="0" w:color="auto"/>
              <w:bottom w:val="none" w:sz="0" w:space="0" w:color="auto"/>
              <w:right w:val="none" w:sz="0" w:space="0" w:color="auto"/>
            </w:tcBorders>
            <w:noWrap/>
            <w:vAlign w:val="center"/>
            <w:hideMark/>
          </w:tcPr>
          <w:p w:rsidR="00377775" w:rsidRPr="00512EF2" w:rsidRDefault="00377775" w:rsidP="00A344E6">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5,581,547,19</w:t>
            </w:r>
            <w:r w:rsidR="00A344E6" w:rsidRPr="00512EF2">
              <w:rPr>
                <w:rFonts w:ascii="Tahoma" w:eastAsia="Times New Roman" w:hAnsi="Tahoma" w:cs="Tahoma"/>
                <w:b/>
                <w:sz w:val="20"/>
                <w:szCs w:val="20"/>
                <w:lang w:eastAsia="es-MX"/>
              </w:rPr>
              <w:t>6</w:t>
            </w:r>
            <w:r w:rsidRPr="00512EF2">
              <w:rPr>
                <w:rFonts w:ascii="Tahoma" w:eastAsia="Times New Roman" w:hAnsi="Tahoma" w:cs="Tahoma"/>
                <w:b/>
                <w:sz w:val="20"/>
                <w:szCs w:val="20"/>
                <w:lang w:eastAsia="es-MX"/>
              </w:rPr>
              <w:t>.</w:t>
            </w:r>
            <w:r w:rsidR="00A344E6" w:rsidRPr="00512EF2">
              <w:rPr>
                <w:rFonts w:ascii="Tahoma" w:eastAsia="Times New Roman" w:hAnsi="Tahoma" w:cs="Tahoma"/>
                <w:b/>
                <w:sz w:val="20"/>
                <w:szCs w:val="20"/>
                <w:lang w:eastAsia="es-MX"/>
              </w:rPr>
              <w:t>11</w:t>
            </w:r>
          </w:p>
        </w:tc>
      </w:tr>
      <w:tr w:rsidR="00377775" w:rsidRPr="00345BFD" w:rsidTr="008133F1">
        <w:trPr>
          <w:trHeight w:val="1425"/>
        </w:trPr>
        <w:tc>
          <w:tcPr>
            <w:cnfStyle w:val="001000000000" w:firstRow="0" w:lastRow="0" w:firstColumn="1" w:lastColumn="0" w:oddVBand="0" w:evenVBand="0" w:oddHBand="0" w:evenHBand="0" w:firstRowFirstColumn="0" w:firstRowLastColumn="0" w:lastRowFirstColumn="0" w:lastRowLastColumn="0"/>
            <w:tcW w:w="2510" w:type="dxa"/>
            <w:tcBorders>
              <w:left w:val="none" w:sz="0" w:space="0" w:color="auto"/>
              <w:bottom w:val="single" w:sz="24" w:space="0" w:color="F2DBDB" w:themeColor="accent2" w:themeTint="33"/>
              <w:right w:val="none" w:sz="0" w:space="0" w:color="auto"/>
            </w:tcBorders>
            <w:noWrap/>
            <w:vAlign w:val="center"/>
            <w:hideMark/>
          </w:tcPr>
          <w:p w:rsidR="00377775" w:rsidRPr="00512EF2" w:rsidRDefault="00377775" w:rsidP="00E615A4">
            <w:pPr>
              <w:spacing w:before="120" w:line="360" w:lineRule="auto"/>
              <w:jc w:val="center"/>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Fondo de Compensación del Impuesto sobre Automóviles Nuevos</w:t>
            </w:r>
          </w:p>
        </w:tc>
        <w:tc>
          <w:tcPr>
            <w:tcW w:w="2420" w:type="dxa"/>
            <w:tcBorders>
              <w:bottom w:val="single" w:sz="24" w:space="0" w:color="F2DBDB" w:themeColor="accent2" w:themeTint="33"/>
            </w:tcBorders>
            <w:noWrap/>
            <w:vAlign w:val="center"/>
            <w:hideMark/>
          </w:tcPr>
          <w:p w:rsidR="00377775" w:rsidRPr="00512EF2" w:rsidRDefault="00377775" w:rsidP="00E615A4">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57,894,684.00</w:t>
            </w:r>
          </w:p>
        </w:tc>
        <w:tc>
          <w:tcPr>
            <w:tcW w:w="2169" w:type="dxa"/>
            <w:tcBorders>
              <w:bottom w:val="single" w:sz="24" w:space="0" w:color="F2DBDB" w:themeColor="accent2" w:themeTint="33"/>
            </w:tcBorders>
            <w:noWrap/>
            <w:vAlign w:val="center"/>
            <w:hideMark/>
          </w:tcPr>
          <w:p w:rsidR="00377775" w:rsidRPr="00512EF2" w:rsidRDefault="00377775" w:rsidP="00E615A4">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57,894,684.00</w:t>
            </w:r>
          </w:p>
        </w:tc>
        <w:tc>
          <w:tcPr>
            <w:tcW w:w="2330" w:type="dxa"/>
            <w:tcBorders>
              <w:bottom w:val="single" w:sz="24" w:space="0" w:color="F2DBDB" w:themeColor="accent2" w:themeTint="33"/>
            </w:tcBorders>
            <w:noWrap/>
            <w:vAlign w:val="center"/>
            <w:hideMark/>
          </w:tcPr>
          <w:p w:rsidR="00377775" w:rsidRPr="00512EF2" w:rsidRDefault="00377775" w:rsidP="00E615A4">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57,894,684.00</w:t>
            </w:r>
          </w:p>
        </w:tc>
      </w:tr>
      <w:tr w:rsidR="00E615A4" w:rsidRPr="00345BFD" w:rsidTr="008133F1">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510" w:type="dxa"/>
            <w:tcBorders>
              <w:top w:val="single" w:sz="24" w:space="0" w:color="F2DBDB" w:themeColor="accent2" w:themeTint="33"/>
              <w:left w:val="single" w:sz="24" w:space="0" w:color="F2DBDB" w:themeColor="accent2" w:themeTint="33"/>
              <w:bottom w:val="single" w:sz="24" w:space="0" w:color="F2DBDB" w:themeColor="accent2" w:themeTint="33"/>
              <w:right w:val="single" w:sz="24" w:space="0" w:color="F2DBDB" w:themeColor="accent2" w:themeTint="33"/>
            </w:tcBorders>
            <w:noWrap/>
            <w:vAlign w:val="center"/>
          </w:tcPr>
          <w:p w:rsidR="00E615A4" w:rsidRPr="00512EF2" w:rsidRDefault="00E615A4" w:rsidP="00E615A4">
            <w:pPr>
              <w:spacing w:before="120" w:line="360" w:lineRule="auto"/>
              <w:jc w:val="center"/>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TOTAL</w:t>
            </w:r>
          </w:p>
        </w:tc>
        <w:tc>
          <w:tcPr>
            <w:tcW w:w="2420" w:type="dxa"/>
            <w:tcBorders>
              <w:top w:val="single" w:sz="24" w:space="0" w:color="F2DBDB" w:themeColor="accent2" w:themeTint="33"/>
              <w:left w:val="single" w:sz="24" w:space="0" w:color="F2DBDB" w:themeColor="accent2" w:themeTint="33"/>
              <w:bottom w:val="single" w:sz="24" w:space="0" w:color="F2DBDB" w:themeColor="accent2" w:themeTint="33"/>
              <w:right w:val="single" w:sz="24" w:space="0" w:color="F2DBDB" w:themeColor="accent2" w:themeTint="33"/>
            </w:tcBorders>
            <w:noWrap/>
            <w:vAlign w:val="center"/>
          </w:tcPr>
          <w:p w:rsidR="00E615A4" w:rsidRPr="00512EF2" w:rsidRDefault="009833DC" w:rsidP="00E615A4">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21,061´497,319.00</w:t>
            </w:r>
          </w:p>
        </w:tc>
        <w:tc>
          <w:tcPr>
            <w:tcW w:w="2169" w:type="dxa"/>
            <w:tcBorders>
              <w:top w:val="single" w:sz="24" w:space="0" w:color="F2DBDB" w:themeColor="accent2" w:themeTint="33"/>
              <w:left w:val="single" w:sz="24" w:space="0" w:color="F2DBDB" w:themeColor="accent2" w:themeTint="33"/>
              <w:bottom w:val="single" w:sz="24" w:space="0" w:color="F2DBDB" w:themeColor="accent2" w:themeTint="33"/>
              <w:right w:val="single" w:sz="24" w:space="0" w:color="F2DBDB" w:themeColor="accent2" w:themeTint="33"/>
            </w:tcBorders>
            <w:noWrap/>
            <w:vAlign w:val="center"/>
          </w:tcPr>
          <w:p w:rsidR="00E615A4" w:rsidRPr="00512EF2" w:rsidRDefault="00A344E6" w:rsidP="00E615A4">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22,824´121,133.00</w:t>
            </w:r>
          </w:p>
        </w:tc>
        <w:tc>
          <w:tcPr>
            <w:tcW w:w="2330" w:type="dxa"/>
            <w:tcBorders>
              <w:top w:val="single" w:sz="24" w:space="0" w:color="F2DBDB" w:themeColor="accent2" w:themeTint="33"/>
              <w:left w:val="single" w:sz="24" w:space="0" w:color="F2DBDB" w:themeColor="accent2" w:themeTint="33"/>
              <w:bottom w:val="single" w:sz="24" w:space="0" w:color="F2DBDB" w:themeColor="accent2" w:themeTint="33"/>
              <w:right w:val="single" w:sz="24" w:space="0" w:color="F2DBDB" w:themeColor="accent2" w:themeTint="33"/>
            </w:tcBorders>
            <w:noWrap/>
            <w:vAlign w:val="center"/>
          </w:tcPr>
          <w:p w:rsidR="00E615A4" w:rsidRPr="00512EF2" w:rsidRDefault="009833DC" w:rsidP="00A344E6">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es-MX"/>
              </w:rPr>
            </w:pPr>
            <w:r w:rsidRPr="00512EF2">
              <w:rPr>
                <w:rFonts w:ascii="Tahoma" w:eastAsia="Times New Roman" w:hAnsi="Tahoma" w:cs="Tahoma"/>
                <w:b/>
                <w:sz w:val="20"/>
                <w:szCs w:val="20"/>
                <w:lang w:eastAsia="es-MX"/>
              </w:rPr>
              <w:t>22,8</w:t>
            </w:r>
            <w:r w:rsidR="00A344E6" w:rsidRPr="00512EF2">
              <w:rPr>
                <w:rFonts w:ascii="Tahoma" w:eastAsia="Times New Roman" w:hAnsi="Tahoma" w:cs="Tahoma"/>
                <w:b/>
                <w:sz w:val="20"/>
                <w:szCs w:val="20"/>
                <w:lang w:eastAsia="es-MX"/>
              </w:rPr>
              <w:t>8</w:t>
            </w:r>
            <w:r w:rsidRPr="00512EF2">
              <w:rPr>
                <w:rFonts w:ascii="Tahoma" w:eastAsia="Times New Roman" w:hAnsi="Tahoma" w:cs="Tahoma"/>
                <w:b/>
                <w:sz w:val="20"/>
                <w:szCs w:val="20"/>
                <w:lang w:eastAsia="es-MX"/>
              </w:rPr>
              <w:t>3´</w:t>
            </w:r>
            <w:r w:rsidR="00A344E6" w:rsidRPr="00512EF2">
              <w:rPr>
                <w:rFonts w:ascii="Tahoma" w:eastAsia="Times New Roman" w:hAnsi="Tahoma" w:cs="Tahoma"/>
                <w:b/>
                <w:sz w:val="20"/>
                <w:szCs w:val="20"/>
                <w:lang w:eastAsia="es-MX"/>
              </w:rPr>
              <w:t>909</w:t>
            </w:r>
            <w:r w:rsidRPr="00512EF2">
              <w:rPr>
                <w:rFonts w:ascii="Tahoma" w:eastAsia="Times New Roman" w:hAnsi="Tahoma" w:cs="Tahoma"/>
                <w:b/>
                <w:sz w:val="20"/>
                <w:szCs w:val="20"/>
                <w:lang w:eastAsia="es-MX"/>
              </w:rPr>
              <w:t>,</w:t>
            </w:r>
            <w:r w:rsidR="00A344E6" w:rsidRPr="00512EF2">
              <w:rPr>
                <w:rFonts w:ascii="Tahoma" w:eastAsia="Times New Roman" w:hAnsi="Tahoma" w:cs="Tahoma"/>
                <w:b/>
                <w:sz w:val="20"/>
                <w:szCs w:val="20"/>
                <w:lang w:eastAsia="es-MX"/>
              </w:rPr>
              <w:t>16</w:t>
            </w:r>
            <w:r w:rsidRPr="00512EF2">
              <w:rPr>
                <w:rFonts w:ascii="Tahoma" w:eastAsia="Times New Roman" w:hAnsi="Tahoma" w:cs="Tahoma"/>
                <w:b/>
                <w:sz w:val="20"/>
                <w:szCs w:val="20"/>
                <w:lang w:eastAsia="es-MX"/>
              </w:rPr>
              <w:t>8</w:t>
            </w:r>
            <w:r w:rsidR="00A344E6" w:rsidRPr="00512EF2">
              <w:rPr>
                <w:rFonts w:ascii="Tahoma" w:eastAsia="Times New Roman" w:hAnsi="Tahoma" w:cs="Tahoma"/>
                <w:b/>
                <w:sz w:val="20"/>
                <w:szCs w:val="20"/>
                <w:lang w:eastAsia="es-MX"/>
              </w:rPr>
              <w:t>.11</w:t>
            </w:r>
          </w:p>
        </w:tc>
      </w:tr>
    </w:tbl>
    <w:p w:rsidR="00CA01DC" w:rsidRDefault="008133F1" w:rsidP="008133F1">
      <w:pPr>
        <w:spacing w:after="0" w:line="240" w:lineRule="auto"/>
        <w:jc w:val="both"/>
        <w:rPr>
          <w:rFonts w:ascii="Tahoma" w:hAnsi="Tahoma" w:cs="Tahoma"/>
          <w:sz w:val="20"/>
          <w:szCs w:val="20"/>
        </w:rPr>
      </w:pPr>
      <w:r>
        <w:rPr>
          <w:rFonts w:ascii="Tahoma" w:hAnsi="Tahoma" w:cs="Tahoma"/>
          <w:sz w:val="20"/>
          <w:szCs w:val="20"/>
        </w:rPr>
        <w:t xml:space="preserve">Fuente: </w:t>
      </w:r>
      <w:r w:rsidRPr="008133F1">
        <w:rPr>
          <w:rFonts w:ascii="Tahoma" w:hAnsi="Tahoma" w:cs="Tahoma"/>
          <w:sz w:val="20"/>
          <w:szCs w:val="20"/>
        </w:rPr>
        <w:t>SEGOB (2016) ACUERDO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w:t>
      </w:r>
      <w:r>
        <w:rPr>
          <w:rFonts w:ascii="Tahoma" w:hAnsi="Tahoma" w:cs="Tahoma"/>
          <w:sz w:val="20"/>
          <w:szCs w:val="20"/>
        </w:rPr>
        <w:t>.</w:t>
      </w:r>
    </w:p>
    <w:p w:rsidR="008133F1" w:rsidRDefault="008133F1" w:rsidP="008133F1">
      <w:pPr>
        <w:spacing w:after="0" w:line="240" w:lineRule="auto"/>
        <w:jc w:val="both"/>
        <w:rPr>
          <w:rFonts w:ascii="Tahoma" w:hAnsi="Tahoma" w:cs="Tahoma"/>
          <w:sz w:val="20"/>
          <w:szCs w:val="20"/>
        </w:rPr>
      </w:pPr>
    </w:p>
    <w:p w:rsidR="008133F1" w:rsidRPr="008133F1" w:rsidRDefault="008133F1" w:rsidP="008133F1">
      <w:pPr>
        <w:spacing w:after="0" w:line="240" w:lineRule="auto"/>
        <w:jc w:val="both"/>
        <w:rPr>
          <w:rFonts w:ascii="Tahoma" w:hAnsi="Tahoma" w:cs="Tahoma"/>
          <w:sz w:val="20"/>
          <w:szCs w:val="20"/>
        </w:rPr>
      </w:pPr>
    </w:p>
    <w:p w:rsidR="00044D6F" w:rsidRPr="00060056" w:rsidRDefault="00A9465D" w:rsidP="007A2F4D">
      <w:pPr>
        <w:pStyle w:val="Heading1"/>
        <w:spacing w:before="0" w:after="240" w:line="360" w:lineRule="auto"/>
        <w:jc w:val="both"/>
        <w:rPr>
          <w:rStyle w:val="Heading1Char"/>
          <w:rFonts w:ascii="Maiandra GD" w:hAnsi="Maiandra GD"/>
          <w:b/>
          <w:color w:val="943634" w:themeColor="accent2" w:themeShade="BF"/>
          <w:sz w:val="32"/>
          <w:szCs w:val="32"/>
        </w:rPr>
      </w:pPr>
      <w:bookmarkStart w:id="9" w:name="_Toc520556938"/>
      <w:r w:rsidRPr="00060056">
        <w:rPr>
          <w:rStyle w:val="Heading1Char"/>
          <w:rFonts w:ascii="Maiandra GD" w:hAnsi="Maiandra GD"/>
          <w:b/>
          <w:color w:val="943634" w:themeColor="accent2" w:themeShade="BF"/>
          <w:sz w:val="32"/>
          <w:szCs w:val="32"/>
        </w:rPr>
        <w:t>Objetivo</w:t>
      </w:r>
      <w:bookmarkEnd w:id="9"/>
    </w:p>
    <w:p w:rsidR="00044D6F" w:rsidRDefault="00044D6F" w:rsidP="00BE2EBB">
      <w:pPr>
        <w:spacing w:after="480" w:line="480" w:lineRule="auto"/>
        <w:jc w:val="both"/>
        <w:rPr>
          <w:rFonts w:ascii="Tahoma" w:hAnsi="Tahoma" w:cs="Tahoma"/>
          <w:sz w:val="24"/>
          <w:szCs w:val="24"/>
        </w:rPr>
      </w:pPr>
      <w:r w:rsidRPr="006D1177">
        <w:rPr>
          <w:rFonts w:ascii="Tahoma" w:hAnsi="Tahoma" w:cs="Tahoma"/>
          <w:sz w:val="24"/>
          <w:szCs w:val="24"/>
        </w:rPr>
        <w:t>Los recursos transferidos por la Federación al Estado de Baja California, aunque no tienen un objetivo específico, tienen como fin, asignar los recursos de manera proporcional a la participación de las entidades en la actividad económica y la recaudación; y por lo tanto pretende generar incentivos para incrementar el crecimiento económico y el esfuerzo recaudatorio., estos recursos compensan la aportación con un criterio resarcitorio a las entidades y sus municipios.</w:t>
      </w:r>
    </w:p>
    <w:p w:rsidR="00BE2EBB" w:rsidRPr="00060056" w:rsidRDefault="00BE2EBB" w:rsidP="007A2F4D">
      <w:pPr>
        <w:pStyle w:val="Heading1"/>
        <w:spacing w:before="0" w:after="240" w:line="360" w:lineRule="auto"/>
        <w:jc w:val="both"/>
        <w:rPr>
          <w:rStyle w:val="Heading1Char"/>
          <w:rFonts w:ascii="Maiandra GD" w:hAnsi="Maiandra GD"/>
          <w:b/>
          <w:color w:val="943634" w:themeColor="accent2" w:themeShade="BF"/>
          <w:sz w:val="32"/>
          <w:szCs w:val="32"/>
        </w:rPr>
      </w:pPr>
      <w:bookmarkStart w:id="10" w:name="_Toc520556939"/>
      <w:r w:rsidRPr="00060056">
        <w:rPr>
          <w:rStyle w:val="Heading1Char"/>
          <w:rFonts w:ascii="Maiandra GD" w:hAnsi="Maiandra GD"/>
          <w:b/>
          <w:color w:val="943634" w:themeColor="accent2" w:themeShade="BF"/>
          <w:sz w:val="32"/>
          <w:szCs w:val="32"/>
        </w:rPr>
        <w:t>Destino del Gasto</w:t>
      </w:r>
      <w:bookmarkEnd w:id="10"/>
    </w:p>
    <w:p w:rsidR="0030668F" w:rsidRDefault="00012439" w:rsidP="00252C0F">
      <w:pPr>
        <w:spacing w:after="0" w:line="240" w:lineRule="auto"/>
        <w:jc w:val="both"/>
        <w:rPr>
          <w:rFonts w:ascii="Tahoma" w:hAnsi="Tahoma" w:cs="Tahoma"/>
          <w:sz w:val="24"/>
          <w:szCs w:val="24"/>
        </w:rPr>
      </w:pPr>
      <w:r>
        <w:rPr>
          <w:rFonts w:ascii="Tahoma" w:hAnsi="Tahoma" w:cs="Tahoma"/>
          <w:sz w:val="24"/>
          <w:szCs w:val="24"/>
        </w:rPr>
        <w:t>Los recursos provenientes de las Participaciones Federales, transferidos al Estado se integran al Ingreso, mismo que posibilita el Gasto Público de la Entidad, según la naturaleza de los servicios y los programas, de acuerdo a los propósitos u objetivos socioeconómicos plasmados en el Plan Estatal de Desarrollo:</w:t>
      </w:r>
      <w:r w:rsidR="0030668F">
        <w:rPr>
          <w:rFonts w:ascii="Tahoma" w:hAnsi="Tahoma" w:cs="Tahoma"/>
          <w:noProof/>
          <w:sz w:val="24"/>
          <w:szCs w:val="24"/>
          <w:lang w:val="en-US"/>
        </w:rPr>
        <w:drawing>
          <wp:inline distT="0" distB="0" distL="0" distR="0">
            <wp:extent cx="5600700" cy="3028208"/>
            <wp:effectExtent l="38100" t="0" r="57150" b="127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52C0F" w:rsidRPr="00252C0F" w:rsidRDefault="00252C0F" w:rsidP="00252C0F">
      <w:pPr>
        <w:spacing w:after="0" w:line="240" w:lineRule="auto"/>
        <w:jc w:val="both"/>
        <w:rPr>
          <w:rFonts w:ascii="Tahoma" w:hAnsi="Tahoma" w:cs="Tahoma"/>
          <w:sz w:val="20"/>
          <w:szCs w:val="20"/>
        </w:rPr>
      </w:pPr>
      <w:r w:rsidRPr="00252C0F">
        <w:rPr>
          <w:rFonts w:ascii="Tahoma" w:hAnsi="Tahoma" w:cs="Tahoma"/>
          <w:sz w:val="20"/>
          <w:szCs w:val="20"/>
        </w:rPr>
        <w:t>Fuente: Elaboración propia con información de: COPLADE (2017) Actualización Plan Estatal de Desarrollo 2014-2019, Baja California.</w:t>
      </w:r>
    </w:p>
    <w:p w:rsidR="00252C0F" w:rsidRDefault="00252C0F" w:rsidP="00252C0F">
      <w:pPr>
        <w:spacing w:after="0" w:line="240" w:lineRule="auto"/>
        <w:jc w:val="both"/>
        <w:rPr>
          <w:rFonts w:ascii="Tahoma" w:hAnsi="Tahoma" w:cs="Tahoma"/>
          <w:sz w:val="24"/>
          <w:szCs w:val="24"/>
        </w:rPr>
      </w:pPr>
    </w:p>
    <w:p w:rsidR="00252C0F" w:rsidRDefault="00252C0F" w:rsidP="00252C0F">
      <w:pPr>
        <w:spacing w:after="0" w:line="240" w:lineRule="auto"/>
        <w:jc w:val="both"/>
        <w:rPr>
          <w:rFonts w:ascii="Tahoma" w:hAnsi="Tahoma" w:cs="Tahoma"/>
          <w:sz w:val="24"/>
          <w:szCs w:val="24"/>
        </w:rPr>
      </w:pPr>
    </w:p>
    <w:p w:rsidR="00345BFD" w:rsidRPr="00060056" w:rsidRDefault="005929DF" w:rsidP="008A2D78">
      <w:pPr>
        <w:pStyle w:val="Heading2"/>
        <w:spacing w:before="0" w:after="240" w:line="360" w:lineRule="auto"/>
        <w:jc w:val="both"/>
        <w:rPr>
          <w:rFonts w:ascii="Maiandra GD" w:hAnsi="Maiandra GD"/>
          <w:color w:val="943634" w:themeColor="accent2" w:themeShade="BF"/>
          <w:sz w:val="32"/>
          <w:szCs w:val="32"/>
        </w:rPr>
      </w:pPr>
      <w:bookmarkStart w:id="11" w:name="_Toc520556940"/>
      <w:r w:rsidRPr="00060056">
        <w:rPr>
          <w:rFonts w:ascii="Maiandra GD" w:hAnsi="Maiandra GD"/>
          <w:color w:val="943634" w:themeColor="accent2" w:themeShade="BF"/>
          <w:sz w:val="32"/>
          <w:szCs w:val="32"/>
        </w:rPr>
        <w:t>Alineación Plan Nacional de Desarrollo, Plan Estatal de Desarrollo.</w:t>
      </w:r>
      <w:bookmarkEnd w:id="11"/>
      <w:r w:rsidRPr="00060056">
        <w:rPr>
          <w:rFonts w:ascii="Maiandra GD" w:hAnsi="Maiandra GD"/>
          <w:color w:val="943634" w:themeColor="accent2" w:themeShade="BF"/>
          <w:sz w:val="32"/>
          <w:szCs w:val="32"/>
        </w:rPr>
        <w:t xml:space="preserve"> </w:t>
      </w:r>
    </w:p>
    <w:p w:rsidR="001D3B99" w:rsidRDefault="001D3B99" w:rsidP="001028FA">
      <w:pPr>
        <w:spacing w:after="480" w:line="480" w:lineRule="auto"/>
        <w:jc w:val="both"/>
        <w:rPr>
          <w:rFonts w:ascii="Tahoma" w:hAnsi="Tahoma" w:cs="Tahoma"/>
          <w:sz w:val="24"/>
          <w:szCs w:val="24"/>
        </w:rPr>
      </w:pPr>
      <w:r w:rsidRPr="001D3B99">
        <w:rPr>
          <w:rFonts w:ascii="Tahoma" w:hAnsi="Tahoma" w:cs="Tahoma"/>
          <w:sz w:val="24"/>
          <w:szCs w:val="24"/>
        </w:rPr>
        <w:t>Las participaciones en ingresos federales se determinan en el marco de la Ley de Coordinación Fiscal, con base en la estimación de participaciones aprobada en el Presupuesto de Egresos de la Federación para el Ejercicio Fiscal 2017 considerando la recaudación federal participable para ese mismo año, derivada de la estimación contenida en el artículo 1o. de la Ley de Ingresos de la Federación para el Ejercicio Fiscal de 2017, y con base en los incentivos que establecen los Convenios de Colaboración Administrativa en Materia Fiscal Federal y sus Anexos, así como el Fondo de Compensación del Impuesto sobre Automóviles Nuevos y el Fondo de Compensación del Régimen de Pequeños Contribuyentes y del Régimen de Intermedios, establecidos en los artículos 14 de la Ley Federal del Impuesto sobre Automóviles Nuevos y Quinto Transitorio de la Ley de Ingresos de la Federación para el Ejercicio Fiscal de 2017, respectivamente.</w:t>
      </w:r>
    </w:p>
    <w:p w:rsidR="00345BFD" w:rsidRPr="006D1177" w:rsidRDefault="005929DF" w:rsidP="001028FA">
      <w:pPr>
        <w:spacing w:after="480" w:line="480" w:lineRule="auto"/>
        <w:ind w:firstLine="708"/>
        <w:jc w:val="both"/>
        <w:rPr>
          <w:rFonts w:ascii="Tahoma" w:hAnsi="Tahoma" w:cs="Tahoma"/>
          <w:sz w:val="24"/>
          <w:szCs w:val="24"/>
        </w:rPr>
      </w:pPr>
      <w:r w:rsidRPr="006D1177">
        <w:rPr>
          <w:rFonts w:ascii="Tahoma" w:hAnsi="Tahoma" w:cs="Tahoma"/>
          <w:sz w:val="24"/>
          <w:szCs w:val="24"/>
        </w:rPr>
        <w:t>Las Participaciones Federales a Entidades Federativas se encuentran ligadas de la siguiente forma:</w:t>
      </w:r>
    </w:p>
    <w:p w:rsidR="00345BFD" w:rsidRPr="006D1177" w:rsidRDefault="005929DF" w:rsidP="001028FA">
      <w:pPr>
        <w:spacing w:after="480" w:line="480" w:lineRule="auto"/>
        <w:jc w:val="both"/>
        <w:rPr>
          <w:rFonts w:ascii="Tahoma" w:hAnsi="Tahoma" w:cs="Tahoma"/>
          <w:sz w:val="24"/>
          <w:szCs w:val="24"/>
        </w:rPr>
      </w:pPr>
      <w:r w:rsidRPr="006D1177">
        <w:rPr>
          <w:rFonts w:ascii="Tahoma" w:hAnsi="Tahoma" w:cs="Tahoma"/>
          <w:sz w:val="24"/>
          <w:szCs w:val="24"/>
        </w:rPr>
        <w:t xml:space="preserve">Plan Nacional de Desarrollo 2013-2018 </w:t>
      </w:r>
    </w:p>
    <w:p w:rsidR="00345BFD" w:rsidRPr="006D1177" w:rsidRDefault="005929DF" w:rsidP="001028FA">
      <w:pPr>
        <w:spacing w:after="480" w:line="480" w:lineRule="auto"/>
        <w:ind w:left="708"/>
        <w:jc w:val="both"/>
        <w:rPr>
          <w:rFonts w:ascii="Tahoma" w:hAnsi="Tahoma" w:cs="Tahoma"/>
          <w:sz w:val="24"/>
          <w:szCs w:val="24"/>
        </w:rPr>
      </w:pPr>
      <w:r w:rsidRPr="006D1177">
        <w:rPr>
          <w:rFonts w:ascii="Tahoma" w:hAnsi="Tahoma" w:cs="Tahoma"/>
          <w:sz w:val="24"/>
          <w:szCs w:val="24"/>
        </w:rPr>
        <w:t xml:space="preserve">Eje 4 México Prospero Que tiene por Objetivo Mantener la estabilidad macroeconómica del país Democratizar el acceso al financiamiento de proyectos con potencial de crecimiento. </w:t>
      </w:r>
    </w:p>
    <w:p w:rsidR="00345BFD" w:rsidRPr="006D1177" w:rsidRDefault="005929DF" w:rsidP="001028FA">
      <w:pPr>
        <w:spacing w:after="480" w:line="480" w:lineRule="auto"/>
        <w:jc w:val="both"/>
        <w:rPr>
          <w:rFonts w:ascii="Tahoma" w:hAnsi="Tahoma" w:cs="Tahoma"/>
          <w:sz w:val="24"/>
          <w:szCs w:val="24"/>
        </w:rPr>
      </w:pPr>
      <w:r w:rsidRPr="006D1177">
        <w:rPr>
          <w:rFonts w:ascii="Tahoma" w:hAnsi="Tahoma" w:cs="Tahoma"/>
          <w:sz w:val="24"/>
          <w:szCs w:val="24"/>
        </w:rPr>
        <w:t xml:space="preserve">Plan Estatal de Desarrollo 2014- 2019 </w:t>
      </w:r>
    </w:p>
    <w:p w:rsidR="00DD3B6B" w:rsidRDefault="005929DF" w:rsidP="001028FA">
      <w:pPr>
        <w:spacing w:after="480" w:line="480" w:lineRule="auto"/>
        <w:ind w:left="708"/>
        <w:jc w:val="both"/>
        <w:rPr>
          <w:rFonts w:ascii="Tahoma" w:hAnsi="Tahoma" w:cs="Tahoma"/>
          <w:sz w:val="24"/>
          <w:szCs w:val="24"/>
        </w:rPr>
      </w:pPr>
      <w:r w:rsidRPr="006D1177">
        <w:rPr>
          <w:rFonts w:ascii="Tahoma" w:hAnsi="Tahoma" w:cs="Tahoma"/>
          <w:sz w:val="24"/>
          <w:szCs w:val="24"/>
        </w:rPr>
        <w:t>Eje 7 Gobierno de Resultados y cercano a la Gente Que tiene por objetivo Consolidar la Gestión para Resultados en la Administración Estatal a través del mejoramiento de los esquemas de planeación, programación, presupuestación, seguimiento y evaluación.</w:t>
      </w:r>
    </w:p>
    <w:p w:rsidR="001028FA" w:rsidRDefault="009C3CC4" w:rsidP="001028FA">
      <w:pPr>
        <w:spacing w:after="480" w:line="480" w:lineRule="auto"/>
        <w:jc w:val="both"/>
        <w:rPr>
          <w:rFonts w:ascii="Tahoma" w:hAnsi="Tahoma" w:cs="Tahoma"/>
          <w:sz w:val="24"/>
          <w:szCs w:val="24"/>
        </w:rPr>
      </w:pPr>
      <w:r>
        <w:rPr>
          <w:rFonts w:ascii="Tahoma" w:hAnsi="Tahoma" w:cs="Tahoma"/>
          <w:sz w:val="24"/>
          <w:szCs w:val="24"/>
        </w:rPr>
        <w:t xml:space="preserve">Planes </w:t>
      </w:r>
      <w:r w:rsidRPr="001028FA">
        <w:rPr>
          <w:rFonts w:ascii="Tahoma" w:hAnsi="Tahoma" w:cs="Tahoma"/>
          <w:sz w:val="24"/>
          <w:szCs w:val="24"/>
        </w:rPr>
        <w:t>de</w:t>
      </w:r>
      <w:r w:rsidR="001028FA">
        <w:rPr>
          <w:rFonts w:ascii="Tahoma" w:hAnsi="Tahoma" w:cs="Tahoma"/>
          <w:sz w:val="24"/>
          <w:szCs w:val="24"/>
        </w:rPr>
        <w:t xml:space="preserve"> </w:t>
      </w:r>
      <w:r w:rsidR="001028FA" w:rsidRPr="001028FA">
        <w:rPr>
          <w:rFonts w:ascii="Tahoma" w:hAnsi="Tahoma" w:cs="Tahoma"/>
          <w:sz w:val="24"/>
          <w:szCs w:val="24"/>
        </w:rPr>
        <w:t>Desarrollo Municipa</w:t>
      </w:r>
      <w:r w:rsidR="001028FA">
        <w:rPr>
          <w:rFonts w:ascii="Tahoma" w:hAnsi="Tahoma" w:cs="Tahoma"/>
          <w:sz w:val="24"/>
          <w:szCs w:val="24"/>
        </w:rPr>
        <w:t xml:space="preserve">l: </w:t>
      </w:r>
    </w:p>
    <w:p w:rsidR="001028FA" w:rsidRDefault="001028FA" w:rsidP="001028FA">
      <w:pPr>
        <w:spacing w:after="480" w:line="480" w:lineRule="auto"/>
        <w:ind w:left="709"/>
        <w:contextualSpacing/>
        <w:jc w:val="both"/>
        <w:rPr>
          <w:rFonts w:ascii="Tahoma" w:hAnsi="Tahoma" w:cs="Tahoma"/>
          <w:sz w:val="24"/>
          <w:szCs w:val="24"/>
        </w:rPr>
      </w:pPr>
      <w:r>
        <w:rPr>
          <w:rFonts w:ascii="Tahoma" w:hAnsi="Tahoma" w:cs="Tahoma"/>
          <w:sz w:val="24"/>
          <w:szCs w:val="24"/>
        </w:rPr>
        <w:t>Ensenada, 2017-2019;</w:t>
      </w:r>
    </w:p>
    <w:p w:rsidR="001028FA" w:rsidRDefault="001028FA" w:rsidP="001028FA">
      <w:pPr>
        <w:spacing w:after="480" w:line="480" w:lineRule="auto"/>
        <w:ind w:left="709"/>
        <w:contextualSpacing/>
        <w:jc w:val="both"/>
        <w:rPr>
          <w:rFonts w:ascii="Tahoma" w:hAnsi="Tahoma" w:cs="Tahoma"/>
          <w:sz w:val="24"/>
          <w:szCs w:val="24"/>
        </w:rPr>
      </w:pPr>
      <w:r>
        <w:rPr>
          <w:rFonts w:ascii="Tahoma" w:hAnsi="Tahoma" w:cs="Tahoma"/>
          <w:sz w:val="24"/>
          <w:szCs w:val="24"/>
        </w:rPr>
        <w:t>Mexicali, 2017-2019;</w:t>
      </w:r>
    </w:p>
    <w:p w:rsidR="001028FA" w:rsidRDefault="001028FA" w:rsidP="001028FA">
      <w:pPr>
        <w:spacing w:after="480" w:line="480" w:lineRule="auto"/>
        <w:ind w:left="709"/>
        <w:contextualSpacing/>
        <w:jc w:val="both"/>
        <w:rPr>
          <w:rFonts w:ascii="Tahoma" w:hAnsi="Tahoma" w:cs="Tahoma"/>
          <w:sz w:val="24"/>
          <w:szCs w:val="24"/>
        </w:rPr>
      </w:pPr>
      <w:r>
        <w:rPr>
          <w:rFonts w:ascii="Tahoma" w:hAnsi="Tahoma" w:cs="Tahoma"/>
          <w:sz w:val="24"/>
          <w:szCs w:val="24"/>
        </w:rPr>
        <w:t>Tijuana, 2017-2019;</w:t>
      </w:r>
    </w:p>
    <w:p w:rsidR="001028FA" w:rsidRDefault="001028FA" w:rsidP="001028FA">
      <w:pPr>
        <w:spacing w:after="480" w:line="480" w:lineRule="auto"/>
        <w:ind w:left="709"/>
        <w:contextualSpacing/>
        <w:jc w:val="both"/>
        <w:rPr>
          <w:rFonts w:ascii="Tahoma" w:hAnsi="Tahoma" w:cs="Tahoma"/>
          <w:sz w:val="24"/>
          <w:szCs w:val="24"/>
        </w:rPr>
      </w:pPr>
      <w:r>
        <w:rPr>
          <w:rFonts w:ascii="Tahoma" w:hAnsi="Tahoma" w:cs="Tahoma"/>
          <w:sz w:val="24"/>
          <w:szCs w:val="24"/>
        </w:rPr>
        <w:t>Tecate, 2017-2019;</w:t>
      </w:r>
    </w:p>
    <w:p w:rsidR="001028FA" w:rsidRDefault="001028FA" w:rsidP="001028FA">
      <w:pPr>
        <w:spacing w:after="480" w:line="480" w:lineRule="auto"/>
        <w:ind w:left="709"/>
        <w:contextualSpacing/>
        <w:jc w:val="both"/>
        <w:rPr>
          <w:rFonts w:ascii="Tahoma" w:hAnsi="Tahoma" w:cs="Tahoma"/>
          <w:sz w:val="24"/>
          <w:szCs w:val="24"/>
        </w:rPr>
      </w:pPr>
      <w:r>
        <w:rPr>
          <w:rFonts w:ascii="Tahoma" w:hAnsi="Tahoma" w:cs="Tahoma"/>
          <w:sz w:val="24"/>
          <w:szCs w:val="24"/>
        </w:rPr>
        <w:t>Playas de Rosarito, 2017-2019;</w:t>
      </w:r>
    </w:p>
    <w:p w:rsidR="00044D6F" w:rsidRPr="006D1177" w:rsidRDefault="001028FA" w:rsidP="001028FA">
      <w:pPr>
        <w:spacing w:after="480" w:line="480" w:lineRule="auto"/>
        <w:jc w:val="both"/>
        <w:rPr>
          <w:rFonts w:ascii="Tahoma" w:hAnsi="Tahoma" w:cs="Tahoma"/>
          <w:sz w:val="24"/>
          <w:szCs w:val="24"/>
          <w:lang w:val="es-ES" w:eastAsia="es-MX"/>
        </w:rPr>
      </w:pPr>
      <w:r w:rsidRPr="001028FA">
        <w:rPr>
          <w:rFonts w:ascii="Tahoma" w:hAnsi="Tahoma" w:cs="Tahoma"/>
          <w:sz w:val="24"/>
          <w:szCs w:val="24"/>
          <w:lang w:val="es-ES" w:eastAsia="es-MX"/>
        </w:rPr>
        <w:t>En este sentido, el Instituto Nacional para el Federalismo y el desarrollo Municipal</w:t>
      </w:r>
      <w:r>
        <w:rPr>
          <w:rFonts w:ascii="Tahoma" w:hAnsi="Tahoma" w:cs="Tahoma"/>
          <w:sz w:val="24"/>
          <w:szCs w:val="24"/>
          <w:lang w:val="es-ES" w:eastAsia="es-MX"/>
        </w:rPr>
        <w:t xml:space="preserve"> </w:t>
      </w:r>
      <w:r w:rsidRPr="001028FA">
        <w:rPr>
          <w:rFonts w:ascii="Tahoma" w:hAnsi="Tahoma" w:cs="Tahoma"/>
          <w:sz w:val="24"/>
          <w:szCs w:val="24"/>
          <w:lang w:val="es-ES" w:eastAsia="es-MX"/>
        </w:rPr>
        <w:t>(INAFED), la Auditoría Superior de la Federación (ASF) y la Secretaría</w:t>
      </w:r>
      <w:r>
        <w:rPr>
          <w:rFonts w:ascii="Tahoma" w:hAnsi="Tahoma" w:cs="Tahoma"/>
          <w:sz w:val="24"/>
          <w:szCs w:val="24"/>
          <w:lang w:val="es-ES" w:eastAsia="es-MX"/>
        </w:rPr>
        <w:t xml:space="preserve"> </w:t>
      </w:r>
      <w:r w:rsidRPr="001028FA">
        <w:rPr>
          <w:rFonts w:ascii="Tahoma" w:hAnsi="Tahoma" w:cs="Tahoma"/>
          <w:sz w:val="24"/>
          <w:szCs w:val="24"/>
          <w:lang w:val="es-ES" w:eastAsia="es-MX"/>
        </w:rPr>
        <w:t xml:space="preserve">de Desarrollo Social (SEDESOL), </w:t>
      </w:r>
      <w:r>
        <w:rPr>
          <w:rFonts w:ascii="Tahoma" w:hAnsi="Tahoma" w:cs="Tahoma"/>
          <w:sz w:val="24"/>
          <w:szCs w:val="24"/>
          <w:lang w:val="es-ES" w:eastAsia="es-MX"/>
        </w:rPr>
        <w:t>dan seguimiento a</w:t>
      </w:r>
      <w:r w:rsidRPr="001028FA">
        <w:rPr>
          <w:rFonts w:ascii="Tahoma" w:hAnsi="Tahoma" w:cs="Tahoma"/>
          <w:sz w:val="24"/>
          <w:szCs w:val="24"/>
          <w:lang w:val="es-ES" w:eastAsia="es-MX"/>
        </w:rPr>
        <w:t xml:space="preserve"> la mecánica y funcionamiento que</w:t>
      </w:r>
      <w:r>
        <w:rPr>
          <w:rFonts w:ascii="Tahoma" w:hAnsi="Tahoma" w:cs="Tahoma"/>
          <w:sz w:val="24"/>
          <w:szCs w:val="24"/>
          <w:lang w:val="es-ES" w:eastAsia="es-MX"/>
        </w:rPr>
        <w:t xml:space="preserve"> </w:t>
      </w:r>
      <w:r w:rsidRPr="001028FA">
        <w:rPr>
          <w:rFonts w:ascii="Tahoma" w:hAnsi="Tahoma" w:cs="Tahoma"/>
          <w:sz w:val="24"/>
          <w:szCs w:val="24"/>
          <w:lang w:val="es-ES" w:eastAsia="es-MX"/>
        </w:rPr>
        <w:t>siguen las transferencias federales</w:t>
      </w:r>
      <w:r>
        <w:rPr>
          <w:rFonts w:ascii="Tahoma" w:hAnsi="Tahoma" w:cs="Tahoma"/>
          <w:sz w:val="24"/>
          <w:szCs w:val="24"/>
          <w:lang w:val="es-ES" w:eastAsia="es-MX"/>
        </w:rPr>
        <w:t>, incluidas las Participaciones y las Aportaciones Federales.</w:t>
      </w:r>
      <w:r w:rsidR="00044D6F" w:rsidRPr="006D1177">
        <w:rPr>
          <w:rFonts w:ascii="Tahoma" w:hAnsi="Tahoma" w:cs="Tahoma"/>
          <w:sz w:val="24"/>
          <w:szCs w:val="24"/>
          <w:lang w:val="es-ES" w:eastAsia="es-MX"/>
        </w:rPr>
        <w:br w:type="page"/>
      </w: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C44909" w:rsidP="00573B70">
      <w:pPr>
        <w:jc w:val="both"/>
        <w:rPr>
          <w:rFonts w:ascii="Tahoma" w:hAnsi="Tahoma" w:cs="Tahoma"/>
          <w:szCs w:val="24"/>
          <w:lang w:val="es-ES" w:eastAsia="es-MX"/>
        </w:rPr>
      </w:pPr>
      <w:r>
        <w:rPr>
          <w:rFonts w:ascii="Tahoma" w:hAnsi="Tahoma" w:cs="Tahoma"/>
          <w:noProof/>
          <w:szCs w:val="24"/>
          <w:lang w:val="en-US"/>
        </w:rPr>
        <w:drawing>
          <wp:anchor distT="0" distB="0" distL="114300" distR="114300" simplePos="0" relativeHeight="251688448" behindDoc="1" locked="0" layoutInCell="1" allowOverlap="1" wp14:anchorId="471EFECA" wp14:editId="0B2167EC">
            <wp:simplePos x="0" y="0"/>
            <wp:positionH relativeFrom="column">
              <wp:posOffset>34290</wp:posOffset>
            </wp:positionH>
            <wp:positionV relativeFrom="paragraph">
              <wp:posOffset>99060</wp:posOffset>
            </wp:positionV>
            <wp:extent cx="5849944" cy="3475355"/>
            <wp:effectExtent l="0" t="0" r="0" b="0"/>
            <wp:wrapNone/>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_2134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9944" cy="3475355"/>
                    </a:xfrm>
                    <a:prstGeom prst="rect">
                      <a:avLst/>
                    </a:prstGeom>
                    <a:ln>
                      <a:noFill/>
                    </a:ln>
                    <a:effectLst>
                      <a:innerShdw blurRad="63500" dist="50800" dir="135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0C3119" w:rsidP="00573B70">
      <w:pPr>
        <w:jc w:val="both"/>
        <w:rPr>
          <w:rFonts w:ascii="Tahoma" w:hAnsi="Tahoma" w:cs="Tahoma"/>
          <w:szCs w:val="24"/>
          <w:lang w:val="es-ES" w:eastAsia="es-MX"/>
        </w:rPr>
      </w:pPr>
      <w:r>
        <w:rPr>
          <w:noProof/>
          <w:color w:val="EEECE1" w:themeColor="background2"/>
          <w:lang w:val="en-US"/>
        </w:rPr>
        <mc:AlternateContent>
          <mc:Choice Requires="wps">
            <w:drawing>
              <wp:anchor distT="0" distB="0" distL="114300" distR="114300" simplePos="0" relativeHeight="251659776" behindDoc="0" locked="0" layoutInCell="1" allowOverlap="1" wp14:anchorId="70E91DA2" wp14:editId="3A22D620">
                <wp:simplePos x="0" y="0"/>
                <wp:positionH relativeFrom="column">
                  <wp:posOffset>1209040</wp:posOffset>
                </wp:positionH>
                <wp:positionV relativeFrom="paragraph">
                  <wp:posOffset>52070</wp:posOffset>
                </wp:positionV>
                <wp:extent cx="4678045" cy="2458085"/>
                <wp:effectExtent l="0" t="0" r="27305" b="18415"/>
                <wp:wrapNone/>
                <wp:docPr id="7" name="7 Rectángulo redondeado"/>
                <wp:cNvGraphicFramePr/>
                <a:graphic xmlns:a="http://schemas.openxmlformats.org/drawingml/2006/main">
                  <a:graphicData uri="http://schemas.microsoft.com/office/word/2010/wordprocessingShape">
                    <wps:wsp>
                      <wps:cNvSpPr/>
                      <wps:spPr>
                        <a:xfrm>
                          <a:off x="0" y="0"/>
                          <a:ext cx="4678045" cy="2458085"/>
                        </a:xfrm>
                        <a:prstGeom prst="roundRect">
                          <a:avLst/>
                        </a:prstGeom>
                        <a:solidFill>
                          <a:srgbClr val="1E1E14"/>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2.</w:t>
                            </w:r>
                            <w:r w:rsidRPr="00DD3B6B">
                              <w:rPr>
                                <w:color w:val="FFFFFF" w:themeColor="background1"/>
                                <w:sz w:val="48"/>
                              </w:rPr>
                              <w:tab/>
                              <w:t>Resultados logrados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E91DA2" id="7 Rectángulo redondeado" o:spid="_x0000_s1034" style="position:absolute;left:0;text-align:left;margin-left:95.2pt;margin-top:4.1pt;width:368.35pt;height:19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XrpgIAAJIFAAAOAAAAZHJzL2Uyb0RvYy54bWysVM1u2zAMvg/YOwi6r3YCp8mCOkXQrsOA&#10;oivaDj0rshwbkEWNUuJkb7Nn2YuNkn8adMUOwxJAJkXy449IXlweGs32Cl0NJueTs5QzZSQUtdnm&#10;/NvTzYcFZ84LUwgNRuX8qBy/XL1/d9HapZpCBbpQyAjEuGVrc155b5dJ4mSlGuHOwCpDwhKwEZ5Y&#10;3CYFipbQG51M0/Q8aQELiyCVc3R73Qn5KuKXpZL+a1k65ZnOOcXm44nx3IQzWV2I5RaFrWrZhyH+&#10;IYpG1IacjlDXwgu2w/oPqKaWCA5KfyahSaAsa6liDpTNJH2VzWMlrIq5UHGcHcvk/h+svNvfI6uL&#10;nM85M6KhJ5qzByrbr59mu9PAUBVgCiUKCLVqrVuSyaO9x55zRIbEDyU24UspsUOs73Gsrzp4Juky&#10;O58v0mzGmSTZNJst0sUsoCYv5had/6ygYYHIOcLOFCGcWFyxv3W+0x/0gksHui5uaq0jg9vNlUa2&#10;F/Tik0/0z3oXJ2pJyKOLPFL+qFUw1uZBlVQNinUaPcY+VCOekFIZP+lElShU52aW0m/wEjo3WMS0&#10;ImBALim8EbsHGDQ7kAG7y6/XD6YqtvFonP4tsM54tIiewfjRuKkN4FsAmrLqPXf6FP5JaQLpD5tD&#10;7JRF0Aw3GyiO1D0I3Vg5K29qerZb4fy9QJojmjjaDf4rHaWGNufQU5xVgD/eug/61N4k5aylucy5&#10;+74TqDjTXww1/sdJloVBjkw2m0+JwVPJ5lRids0VhEagLWRlJIO+1wNZIjTPtELWwSuJhJHkO+fS&#10;48Bc+W5f0BKSar2OajS8Vvhb82hlAA91Dh35dHgWaPve9dT2dzDMsFi+6t5ON1gaWO88lHVs7Ze6&#10;9i9Agx9bqV9SYbOc8lHrZZWufgMAAP//AwBQSwMEFAAGAAgAAAAhAIFUvjPeAAAACQEAAA8AAABk&#10;cnMvZG93bnJldi54bWxMj8FOwzAQRO9I/IO1SNyo04SWJsSpoBIXJA6EivM2XpLQ2A62m4a/ZznB&#10;cTSjmTfldjaDmMiH3lkFy0UCgmzjdG9bBfu3p5sNiBDRahycJQXfFGBbXV6UWGh3tq801bEVXGJD&#10;gQq6GMdCytB0ZDAs3EiWvQ/nDUaWvpXa45nLzSDTJFlLg73lhQ5H2nXUHOuTUbDG+uXTT/lOpu/7&#10;IfPT1/Fx9azU9dX8cA8i0hz/wvCLz+hQMdPBnawOYmCdJ7ccVbBJQbCfp3dLEAcFWb7KQFal/P+g&#10;+gEAAP//AwBQSwECLQAUAAYACAAAACEAtoM4kv4AAADhAQAAEwAAAAAAAAAAAAAAAAAAAAAAW0Nv&#10;bnRlbnRfVHlwZXNdLnhtbFBLAQItABQABgAIAAAAIQA4/SH/1gAAAJQBAAALAAAAAAAAAAAAAAAA&#10;AC8BAABfcmVscy8ucmVsc1BLAQItABQABgAIAAAAIQCaOVXrpgIAAJIFAAAOAAAAAAAAAAAAAAAA&#10;AC4CAABkcnMvZTJvRG9jLnhtbFBLAQItABQABgAIAAAAIQCBVL4z3gAAAAkBAAAPAAAAAAAAAAAA&#10;AAAAAAAFAABkcnMvZG93bnJldi54bWxQSwUGAAAAAAQABADzAAAACwYAAAAA&#10;" fillcolor="#1e1e14" strokecolor="#243f60 [1604]" strokeweight="2pt">
                <v:textbo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2.</w:t>
                      </w:r>
                      <w:r w:rsidRPr="00DD3B6B">
                        <w:rPr>
                          <w:color w:val="FFFFFF" w:themeColor="background1"/>
                          <w:sz w:val="48"/>
                        </w:rPr>
                        <w:tab/>
                        <w:t>Resultados logrados</w:t>
                      </w:r>
                    </w:p>
                  </w:txbxContent>
                </v:textbox>
              </v:roundrect>
            </w:pict>
          </mc:Fallback>
        </mc:AlternateContent>
      </w: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DD3B6B" w:rsidRDefault="00DD3B6B" w:rsidP="00573B70">
      <w:pPr>
        <w:jc w:val="both"/>
        <w:rPr>
          <w:rFonts w:ascii="Tahoma" w:hAnsi="Tahoma" w:cs="Tahoma"/>
          <w:szCs w:val="24"/>
          <w:lang w:val="es-ES" w:eastAsia="es-MX"/>
        </w:rPr>
      </w:pPr>
    </w:p>
    <w:p w:rsidR="00704976" w:rsidRDefault="00704976" w:rsidP="00573B70">
      <w:pPr>
        <w:jc w:val="both"/>
        <w:rPr>
          <w:rFonts w:ascii="Tahoma" w:hAnsi="Tahoma" w:cs="Tahoma"/>
          <w:szCs w:val="24"/>
          <w:lang w:val="es-ES" w:eastAsia="es-MX"/>
        </w:rPr>
      </w:pPr>
    </w:p>
    <w:p w:rsidR="00704976" w:rsidRDefault="00704976" w:rsidP="00573B70">
      <w:pPr>
        <w:jc w:val="both"/>
        <w:rPr>
          <w:rFonts w:ascii="Tahoma" w:hAnsi="Tahoma" w:cs="Tahoma"/>
          <w:szCs w:val="24"/>
          <w:lang w:val="es-ES" w:eastAsia="es-MX"/>
        </w:rPr>
      </w:pPr>
    </w:p>
    <w:p w:rsidR="00704976" w:rsidRDefault="00704976" w:rsidP="00573B70">
      <w:pPr>
        <w:jc w:val="both"/>
        <w:rPr>
          <w:rFonts w:ascii="Tahoma" w:hAnsi="Tahoma" w:cs="Tahoma"/>
          <w:szCs w:val="24"/>
          <w:lang w:val="es-ES" w:eastAsia="es-MX"/>
        </w:rPr>
      </w:pPr>
    </w:p>
    <w:p w:rsidR="00704976" w:rsidRDefault="00704976" w:rsidP="00573B70">
      <w:pPr>
        <w:jc w:val="both"/>
        <w:rPr>
          <w:rFonts w:ascii="Tahoma" w:hAnsi="Tahoma" w:cs="Tahoma"/>
          <w:szCs w:val="24"/>
          <w:lang w:val="es-ES" w:eastAsia="es-MX"/>
        </w:rPr>
      </w:pPr>
    </w:p>
    <w:p w:rsidR="00704976" w:rsidRDefault="00704976" w:rsidP="00573B70">
      <w:pPr>
        <w:jc w:val="both"/>
        <w:rPr>
          <w:rFonts w:ascii="Tahoma" w:hAnsi="Tahoma" w:cs="Tahoma"/>
          <w:szCs w:val="24"/>
          <w:lang w:val="es-ES" w:eastAsia="es-MX"/>
        </w:rPr>
      </w:pPr>
    </w:p>
    <w:p w:rsidR="00704976" w:rsidRDefault="00704976" w:rsidP="00573B70">
      <w:pPr>
        <w:jc w:val="both"/>
        <w:rPr>
          <w:rFonts w:ascii="Tahoma" w:hAnsi="Tahoma" w:cs="Tahoma"/>
          <w:szCs w:val="24"/>
          <w:lang w:val="es-ES" w:eastAsia="es-MX"/>
        </w:rPr>
      </w:pPr>
      <w:r>
        <w:rPr>
          <w:rFonts w:ascii="Tahoma" w:hAnsi="Tahoma" w:cs="Tahoma"/>
          <w:szCs w:val="24"/>
          <w:lang w:val="es-ES" w:eastAsia="es-MX"/>
        </w:rPr>
        <w:br w:type="page"/>
      </w:r>
    </w:p>
    <w:p w:rsidR="00704976" w:rsidRPr="00704976" w:rsidRDefault="00B7561A" w:rsidP="00704976">
      <w:pPr>
        <w:pStyle w:val="Heading1"/>
        <w:rPr>
          <w:rFonts w:ascii="Maiandra GD" w:hAnsi="Maiandra GD"/>
          <w:color w:val="943634" w:themeColor="accent2" w:themeShade="BF"/>
          <w:sz w:val="32"/>
          <w:szCs w:val="32"/>
          <w:lang w:val="es-ES" w:eastAsia="es-MX"/>
        </w:rPr>
      </w:pPr>
      <w:bookmarkStart w:id="12" w:name="_Toc520556941"/>
      <w:r w:rsidRPr="00704976">
        <w:rPr>
          <w:rFonts w:ascii="Maiandra GD" w:hAnsi="Maiandra GD"/>
          <w:color w:val="943634" w:themeColor="accent2" w:themeShade="BF"/>
          <w:sz w:val="32"/>
          <w:szCs w:val="32"/>
          <w:lang w:val="es-ES" w:eastAsia="es-MX"/>
        </w:rPr>
        <w:t>RESULTADOS LOGRADOS</w:t>
      </w:r>
      <w:bookmarkEnd w:id="12"/>
      <w:r w:rsidRPr="00704976">
        <w:rPr>
          <w:rFonts w:ascii="Maiandra GD" w:hAnsi="Maiandra GD"/>
          <w:color w:val="943634" w:themeColor="accent2" w:themeShade="BF"/>
          <w:sz w:val="32"/>
          <w:szCs w:val="32"/>
          <w:lang w:val="es-ES" w:eastAsia="es-MX"/>
        </w:rPr>
        <w:t xml:space="preserve"> </w:t>
      </w:r>
    </w:p>
    <w:p w:rsidR="00704976" w:rsidRDefault="00704976" w:rsidP="00704976">
      <w:pPr>
        <w:autoSpaceDE w:val="0"/>
        <w:autoSpaceDN w:val="0"/>
        <w:adjustRightInd w:val="0"/>
        <w:contextualSpacing/>
        <w:jc w:val="both"/>
        <w:rPr>
          <w:rFonts w:ascii="Tahoma" w:hAnsi="Tahoma" w:cs="Tahoma"/>
          <w:szCs w:val="24"/>
          <w:lang w:val="es-ES" w:eastAsia="es-MX"/>
        </w:rPr>
      </w:pPr>
    </w:p>
    <w:p w:rsidR="00704976" w:rsidRPr="0028289B" w:rsidRDefault="0028289B" w:rsidP="0028289B">
      <w:pPr>
        <w:pStyle w:val="Heading2"/>
        <w:rPr>
          <w:color w:val="943634" w:themeColor="accent2" w:themeShade="BF"/>
          <w:lang w:val="es-ES" w:eastAsia="es-MX"/>
        </w:rPr>
      </w:pPr>
      <w:bookmarkStart w:id="13" w:name="_Toc520556942"/>
      <w:r w:rsidRPr="0028289B">
        <w:rPr>
          <w:color w:val="943634" w:themeColor="accent2" w:themeShade="BF"/>
          <w:lang w:val="es-ES" w:eastAsia="es-MX"/>
        </w:rPr>
        <w:t>Análisis del cumplimiento programático</w:t>
      </w:r>
      <w:bookmarkEnd w:id="13"/>
    </w:p>
    <w:p w:rsidR="00704976" w:rsidRDefault="00704976" w:rsidP="00704976">
      <w:pPr>
        <w:autoSpaceDE w:val="0"/>
        <w:autoSpaceDN w:val="0"/>
        <w:adjustRightInd w:val="0"/>
        <w:contextualSpacing/>
        <w:jc w:val="both"/>
        <w:rPr>
          <w:rFonts w:ascii="Tahoma" w:hAnsi="Tahoma" w:cs="Tahoma"/>
          <w:szCs w:val="24"/>
          <w:lang w:val="es-ES" w:eastAsia="es-MX"/>
        </w:rPr>
      </w:pPr>
    </w:p>
    <w:p w:rsidR="00704976" w:rsidRPr="0028289B" w:rsidRDefault="0028289B" w:rsidP="0028289B">
      <w:pPr>
        <w:spacing w:after="480" w:line="480" w:lineRule="auto"/>
        <w:jc w:val="both"/>
        <w:rPr>
          <w:rFonts w:ascii="Tahoma" w:hAnsi="Tahoma" w:cs="Tahoma"/>
          <w:sz w:val="24"/>
          <w:szCs w:val="24"/>
        </w:rPr>
      </w:pPr>
      <w:r w:rsidRPr="0028289B">
        <w:rPr>
          <w:rFonts w:ascii="Tahoma" w:hAnsi="Tahoma" w:cs="Tahoma"/>
          <w:sz w:val="24"/>
          <w:szCs w:val="24"/>
        </w:rPr>
        <w:t xml:space="preserve">Dada la Naturaleza del Recurso, no se constituye como Programa Presupuestario, estos recursos, en apego al artículo 9, de la Ley de Coordinación Fiscal Federal y su homóloga de Baja California; no se encuentran etiquetados, por lo que </w:t>
      </w:r>
      <w:r w:rsidRPr="00C44909">
        <w:rPr>
          <w:rFonts w:ascii="Tahoma" w:hAnsi="Tahoma" w:cs="Tahoma"/>
          <w:b/>
          <w:color w:val="943634" w:themeColor="accent2" w:themeShade="BF"/>
          <w:sz w:val="28"/>
          <w:szCs w:val="24"/>
        </w:rPr>
        <w:t>NO tienen un objetivo o fin específico</w:t>
      </w:r>
      <w:r w:rsidRPr="0028289B">
        <w:rPr>
          <w:rFonts w:ascii="Tahoma" w:hAnsi="Tahoma" w:cs="Tahoma"/>
          <w:sz w:val="24"/>
          <w:szCs w:val="24"/>
        </w:rPr>
        <w:t xml:space="preserve">, así mismo su ejercicio, </w:t>
      </w:r>
      <w:r w:rsidRPr="00C44909">
        <w:rPr>
          <w:rFonts w:ascii="Tahoma" w:hAnsi="Tahoma" w:cs="Tahoma"/>
          <w:b/>
          <w:color w:val="943634" w:themeColor="accent2" w:themeShade="BF"/>
          <w:sz w:val="28"/>
          <w:szCs w:val="24"/>
        </w:rPr>
        <w:t xml:space="preserve">NO </w:t>
      </w:r>
      <w:r w:rsidR="009C3CC4" w:rsidRPr="00C44909">
        <w:rPr>
          <w:rFonts w:ascii="Tahoma" w:hAnsi="Tahoma" w:cs="Tahoma"/>
          <w:b/>
          <w:color w:val="943634" w:themeColor="accent2" w:themeShade="BF"/>
          <w:sz w:val="28"/>
          <w:szCs w:val="24"/>
        </w:rPr>
        <w:t>está</w:t>
      </w:r>
      <w:r w:rsidRPr="00C44909">
        <w:rPr>
          <w:rFonts w:ascii="Tahoma" w:hAnsi="Tahoma" w:cs="Tahoma"/>
          <w:b/>
          <w:color w:val="943634" w:themeColor="accent2" w:themeShade="BF"/>
          <w:sz w:val="28"/>
          <w:szCs w:val="24"/>
        </w:rPr>
        <w:t xml:space="preserve"> sujeto a retención</w:t>
      </w:r>
      <w:r w:rsidRPr="0028289B">
        <w:rPr>
          <w:rFonts w:ascii="Tahoma" w:hAnsi="Tahoma" w:cs="Tahoma"/>
          <w:sz w:val="24"/>
          <w:szCs w:val="24"/>
        </w:rPr>
        <w:t>, por lo que las entidades federativas y los municipios lo pueden asignar a gasto corriente bajo sus propios criterios, y al cumplimiento de las obligaciones con instituciones financieras de Crédito que operen en Territorio Nacional, así como de las personas físicas o morales de nacionalidad mexicana; es así que el desempeño del mismo, se observará en la asignación presupuestal del Estado hacia los municipios y su impacto de éste, en el Gasto Corriente de los ayuntamientos y del Estado.</w:t>
      </w:r>
    </w:p>
    <w:p w:rsidR="0028289B" w:rsidRPr="0028289B" w:rsidRDefault="005C54B6" w:rsidP="0028289B">
      <w:pPr>
        <w:spacing w:after="480" w:line="480" w:lineRule="auto"/>
        <w:jc w:val="both"/>
        <w:rPr>
          <w:rFonts w:ascii="Tahoma" w:hAnsi="Tahoma" w:cs="Tahoma"/>
          <w:sz w:val="24"/>
          <w:szCs w:val="24"/>
        </w:rPr>
      </w:pPr>
      <w:r>
        <w:rPr>
          <w:noProof/>
          <w:color w:val="EEECE1" w:themeColor="background2"/>
          <w:lang w:val="en-US"/>
        </w:rPr>
        <mc:AlternateContent>
          <mc:Choice Requires="wps">
            <w:drawing>
              <wp:anchor distT="0" distB="0" distL="114300" distR="114300" simplePos="0" relativeHeight="251672064" behindDoc="0" locked="0" layoutInCell="1" allowOverlap="1" wp14:anchorId="56092B65" wp14:editId="38D2AB7E">
                <wp:simplePos x="0" y="0"/>
                <wp:positionH relativeFrom="column">
                  <wp:posOffset>3810</wp:posOffset>
                </wp:positionH>
                <wp:positionV relativeFrom="paragraph">
                  <wp:posOffset>5080</wp:posOffset>
                </wp:positionV>
                <wp:extent cx="2349500" cy="2253615"/>
                <wp:effectExtent l="0" t="0" r="0" b="0"/>
                <wp:wrapSquare wrapText="bothSides"/>
                <wp:docPr id="31" name="7 Rectángulo redondeado"/>
                <wp:cNvGraphicFramePr/>
                <a:graphic xmlns:a="http://schemas.openxmlformats.org/drawingml/2006/main">
                  <a:graphicData uri="http://schemas.microsoft.com/office/word/2010/wordprocessingShape">
                    <wps:wsp>
                      <wps:cNvSpPr/>
                      <wps:spPr>
                        <a:xfrm>
                          <a:off x="0" y="0"/>
                          <a:ext cx="2349500" cy="2253615"/>
                        </a:xfrm>
                        <a:prstGeom prst="roundRect">
                          <a:avLst/>
                        </a:prstGeom>
                        <a:solidFill>
                          <a:schemeClr val="accent2">
                            <a:lumMod val="75000"/>
                          </a:schemeClr>
                        </a:solidFill>
                        <a:ln w="25400" cap="flat" cmpd="sng" algn="ctr">
                          <a:noFill/>
                          <a:prstDash val="solid"/>
                        </a:ln>
                        <a:effectLst/>
                      </wps:spPr>
                      <wps:txbx>
                        <w:txbxContent>
                          <w:p w:rsidR="00E0113E" w:rsidRPr="0028289B" w:rsidRDefault="00E0113E" w:rsidP="0028289B">
                            <w:pPr>
                              <w:autoSpaceDE w:val="0"/>
                              <w:autoSpaceDN w:val="0"/>
                              <w:adjustRightInd w:val="0"/>
                              <w:spacing w:after="0" w:line="240" w:lineRule="auto"/>
                              <w:jc w:val="both"/>
                              <w:rPr>
                                <w:color w:val="FFFFFF" w:themeColor="background1"/>
                              </w:rPr>
                            </w:pPr>
                            <w:r w:rsidRPr="0028289B">
                              <w:rPr>
                                <w:rFonts w:ascii="GillSansMT-Bold" w:hAnsi="GillSansMT-Bold" w:cs="GillSansMT-Bold"/>
                                <w:b/>
                                <w:bCs/>
                                <w:color w:val="FFFFFF"/>
                                <w:sz w:val="24"/>
                                <w:szCs w:val="24"/>
                              </w:rPr>
                              <w:t xml:space="preserve">En virtud de la Naturaleza del Recurso; </w:t>
                            </w:r>
                            <w:r>
                              <w:rPr>
                                <w:rFonts w:ascii="GillSansMT-Bold" w:hAnsi="GillSansMT-Bold" w:cs="GillSansMT-Bold"/>
                                <w:b/>
                                <w:bCs/>
                                <w:color w:val="FFFFFF"/>
                                <w:sz w:val="24"/>
                                <w:szCs w:val="24"/>
                              </w:rPr>
                              <w:t>no es informado por el portal del Sistema de Formato Único (SFU) así mismo una Matriz de Indicadores de Resultados (MIR), por lo que no presenta indicadores que midan el desempeño del mismo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092B65" id="_x0000_s1035" style="position:absolute;left:0;text-align:left;margin-left:.3pt;margin-top:.4pt;width:185pt;height:177.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higIAAP4EAAAOAAAAZHJzL2Uyb0RvYy54bWysVM1O3DAQvlfqO1i+l+yGXSgRWbQCUVWi&#10;gAoV51nH2USyPa7tbELfps/Ci3XsZIHSnqpenBnPeH6++SanZ4NWbCedb9GUfH4w40wagVVrtiX/&#10;dn/54SNnPoCpQKGRJX+Unp+t3r877W0hc2xQVdIxCmJ80duSNyHYIsu8aKQGf4BWGjLW6DQEUt02&#10;qxz0FF2rLJ/NjrIeXWUdCuk93V6MRr5K8etainBT114GpkpOtYV0unRu4pmtTqHYOrBNK6Yy4B+q&#10;0NAaSvoc6gICsM61f4TSrXDosQ4HAnWGdd0KmXqgbuazN93cNWBl6oXA8fYZJv//worr3a1jbVXy&#10;wzlnBjTN6Jh9Jdyefpptp5A5WaGpJFQYweqtL+jNnb11k+ZJjJ0PtdPxSz2xIQH8+AywHAITdJkf&#10;Lk6WM5qDIFueLw+P5ssYNXt5bp0PnyRqFoWSO+xMFctJ6MLuyofRf+8XU3pUbXXZKpWUSB15rhzb&#10;AQ0dhJAm5Om56vQXrMb7Y6ojjZ9yJ7bFJ6mS36Ipw3oqdblIVQMxtFYQqAFtCTNvtpyB2hL1RXAp&#10;h8FYCNUIRSzxAnwzJkxhp2aViXaZ+Dl1FIEdoYxSGDZDmsrJHvQNVo80KYcjhb0Vly3FvwIfbsER&#10;ZwlV2sNwQ0etkIrGSeKsQffjb/fRn6hEVs562gFq6HsHTnKmPhsi2cl8sYhLk5TF8jgnxb22bF5b&#10;TKfPkRAnHlF1SYz+Qe3F2qF+oHVdx6xkAiMo9wjdpJyHcTdp4YVcr5MbLYqFcGXurIjB98jeDw/g&#10;7ESTQAy7xv2+QPGGKKNvfGlw3QWs28SiiPSIKw0+KrRkiQLTDyFu8Ws9eb38tla/AAAA//8DAFBL&#10;AwQUAAYACAAAACEA5M5oo9oAAAAFAQAADwAAAGRycy9kb3ducmV2LnhtbEyOT0vEMBTE74LfITzB&#10;m5ussn/oNl1EKIgXsS6It7R5tnWTl9qku/Xb+zzpbYYZZn75fvZOnHCMfSANy4UCgdQE21Or4fBa&#10;3mxBxGTIGhcINXxjhH1xeZGbzIYzveCpSq3gEYqZ0dClNGRSxqZDb+IiDEicfYTRm8R2bKUdzZnH&#10;vZO3Sq2lNz3xQ2cGfOiwOVaT11D1z5/109tSkZuO83t1KB+/6lLr66v5fgci4Zz+yvCLz+hQMFMd&#10;JrJROA1r7mlges7uNoptzWK12oAscvmfvvgBAAD//wMAUEsBAi0AFAAGAAgAAAAhALaDOJL+AAAA&#10;4QEAABMAAAAAAAAAAAAAAAAAAAAAAFtDb250ZW50X1R5cGVzXS54bWxQSwECLQAUAAYACAAAACEA&#10;OP0h/9YAAACUAQAACwAAAAAAAAAAAAAAAAAvAQAAX3JlbHMvLnJlbHNQSwECLQAUAAYACAAAACEA&#10;/uu74YoCAAD+BAAADgAAAAAAAAAAAAAAAAAuAgAAZHJzL2Uyb0RvYy54bWxQSwECLQAUAAYACAAA&#10;ACEA5M5oo9oAAAAFAQAADwAAAAAAAAAAAAAAAADkBAAAZHJzL2Rvd25yZXYueG1sUEsFBgAAAAAE&#10;AAQA8wAAAOsFAAAAAA==&#10;" fillcolor="#943634 [2405]" stroked="f" strokeweight="2pt">
                <v:textbox>
                  <w:txbxContent>
                    <w:p w:rsidR="00E0113E" w:rsidRPr="0028289B" w:rsidRDefault="00E0113E" w:rsidP="0028289B">
                      <w:pPr>
                        <w:autoSpaceDE w:val="0"/>
                        <w:autoSpaceDN w:val="0"/>
                        <w:adjustRightInd w:val="0"/>
                        <w:spacing w:after="0" w:line="240" w:lineRule="auto"/>
                        <w:jc w:val="both"/>
                        <w:rPr>
                          <w:color w:val="FFFFFF" w:themeColor="background1"/>
                        </w:rPr>
                      </w:pPr>
                      <w:r w:rsidRPr="0028289B">
                        <w:rPr>
                          <w:rFonts w:ascii="GillSansMT-Bold" w:hAnsi="GillSansMT-Bold" w:cs="GillSansMT-Bold"/>
                          <w:b/>
                          <w:bCs/>
                          <w:color w:val="FFFFFF"/>
                          <w:sz w:val="24"/>
                          <w:szCs w:val="24"/>
                        </w:rPr>
                        <w:t xml:space="preserve">En virtud de la Naturaleza del Recurso; </w:t>
                      </w:r>
                      <w:r>
                        <w:rPr>
                          <w:rFonts w:ascii="GillSansMT-Bold" w:hAnsi="GillSansMT-Bold" w:cs="GillSansMT-Bold"/>
                          <w:b/>
                          <w:bCs/>
                          <w:color w:val="FFFFFF"/>
                          <w:sz w:val="24"/>
                          <w:szCs w:val="24"/>
                        </w:rPr>
                        <w:t>no es informado por el portal del Sistema de Formato Único (SFU) así mismo una Matriz de Indicadores de Resultados (MIR), por lo que no presenta indicadores que midan el desempeño del mismo</w:t>
                      </w:r>
                    </w:p>
                  </w:txbxContent>
                </v:textbox>
                <w10:wrap type="square"/>
              </v:roundrect>
            </w:pict>
          </mc:Fallback>
        </mc:AlternateContent>
      </w:r>
      <w:r w:rsidR="0028289B" w:rsidRPr="0028289B">
        <w:rPr>
          <w:rFonts w:ascii="Tahoma" w:hAnsi="Tahoma" w:cs="Tahoma"/>
          <w:sz w:val="24"/>
          <w:szCs w:val="24"/>
        </w:rPr>
        <w:t>El seguimiento de Metas es en sentid</w:t>
      </w:r>
      <w:r>
        <w:rPr>
          <w:rFonts w:ascii="Tahoma" w:hAnsi="Tahoma" w:cs="Tahoma"/>
          <w:sz w:val="24"/>
          <w:szCs w:val="24"/>
        </w:rPr>
        <w:t xml:space="preserve">o estrictamente presupuestal y </w:t>
      </w:r>
      <w:r w:rsidR="0028289B" w:rsidRPr="0028289B">
        <w:rPr>
          <w:rFonts w:ascii="Tahoma" w:hAnsi="Tahoma" w:cs="Tahoma"/>
          <w:sz w:val="24"/>
          <w:szCs w:val="24"/>
        </w:rPr>
        <w:t>correspondiendo a la Secretaria de Planeación y Finanzas informar trimestralmente la recepción y transferencia del 20% correspondiente a los Municipios de la Entidad.</w:t>
      </w:r>
    </w:p>
    <w:p w:rsidR="005C54B6" w:rsidRDefault="005C54B6" w:rsidP="00252C0F">
      <w:pPr>
        <w:spacing w:after="120" w:line="480" w:lineRule="auto"/>
        <w:jc w:val="both"/>
        <w:rPr>
          <w:rFonts w:ascii="Tahoma" w:hAnsi="Tahoma" w:cs="Tahoma"/>
          <w:sz w:val="24"/>
          <w:szCs w:val="24"/>
        </w:rPr>
      </w:pPr>
      <w:r>
        <w:rPr>
          <w:rFonts w:ascii="Tahoma" w:hAnsi="Tahoma" w:cs="Tahoma"/>
          <w:sz w:val="24"/>
          <w:szCs w:val="24"/>
        </w:rPr>
        <w:t xml:space="preserve">De acuerdo con la Información del POA 2017 del Ramo 07 SPF, el seguimiento a las Participaciones, se identificó en la Meta 73. </w:t>
      </w:r>
      <w:r w:rsidRPr="005C54B6">
        <w:rPr>
          <w:rFonts w:ascii="Tahoma" w:hAnsi="Tahoma" w:cs="Tahoma"/>
          <w:sz w:val="24"/>
          <w:szCs w:val="24"/>
        </w:rPr>
        <w:t>Promover y gestionar las Participaciones Federales</w:t>
      </w:r>
      <w:r w:rsidR="00A344E6">
        <w:rPr>
          <w:rFonts w:ascii="Tahoma" w:hAnsi="Tahoma" w:cs="Tahoma"/>
          <w:sz w:val="24"/>
          <w:szCs w:val="24"/>
        </w:rPr>
        <w:t xml:space="preserve"> Ramo 28</w:t>
      </w:r>
      <w:r w:rsidRPr="005C54B6">
        <w:rPr>
          <w:rFonts w:ascii="Tahoma" w:hAnsi="Tahoma" w:cs="Tahoma"/>
          <w:sz w:val="24"/>
          <w:szCs w:val="24"/>
        </w:rPr>
        <w:t>, Aportaciones del Ramo 33 y otras aportaciones</w:t>
      </w:r>
      <w:r>
        <w:rPr>
          <w:rFonts w:ascii="Tahoma" w:hAnsi="Tahoma" w:cs="Tahoma"/>
          <w:sz w:val="24"/>
          <w:szCs w:val="24"/>
        </w:rPr>
        <w:t xml:space="preserve">, con la acción </w:t>
      </w:r>
      <w:r w:rsidRPr="005C54B6">
        <w:rPr>
          <w:rFonts w:ascii="Tahoma" w:hAnsi="Tahoma" w:cs="Tahoma"/>
          <w:sz w:val="24"/>
          <w:szCs w:val="24"/>
        </w:rPr>
        <w:t>1</w:t>
      </w:r>
      <w:r>
        <w:rPr>
          <w:rFonts w:ascii="Tahoma" w:hAnsi="Tahoma" w:cs="Tahoma"/>
          <w:sz w:val="24"/>
          <w:szCs w:val="24"/>
        </w:rPr>
        <w:t xml:space="preserve">. </w:t>
      </w:r>
      <w:r w:rsidRPr="005C54B6">
        <w:rPr>
          <w:rFonts w:ascii="Tahoma" w:hAnsi="Tahoma" w:cs="Tahoma"/>
          <w:sz w:val="24"/>
          <w:szCs w:val="24"/>
        </w:rPr>
        <w:t>Gestionar y supervisar las Participaciones Federales, Aportaciones del Ramo 33 y otras aportaciones</w:t>
      </w:r>
      <w:r w:rsidR="00C95E78">
        <w:rPr>
          <w:rFonts w:ascii="Tahoma" w:hAnsi="Tahoma" w:cs="Tahoma"/>
          <w:sz w:val="24"/>
          <w:szCs w:val="24"/>
        </w:rPr>
        <w:t>.</w:t>
      </w:r>
      <w:r w:rsidR="002850EF">
        <w:rPr>
          <w:rFonts w:ascii="Tahoma" w:hAnsi="Tahoma" w:cs="Tahoma"/>
          <w:sz w:val="24"/>
          <w:szCs w:val="24"/>
        </w:rPr>
        <w:t xml:space="preserve"> </w:t>
      </w:r>
    </w:p>
    <w:tbl>
      <w:tblPr>
        <w:tblStyle w:val="Tabladecuadrcula4-nfasis21"/>
        <w:tblW w:w="8930" w:type="dxa"/>
        <w:tblLook w:val="04A0" w:firstRow="1" w:lastRow="0" w:firstColumn="1" w:lastColumn="0" w:noHBand="0" w:noVBand="1"/>
      </w:tblPr>
      <w:tblGrid>
        <w:gridCol w:w="3749"/>
        <w:gridCol w:w="1960"/>
        <w:gridCol w:w="1680"/>
        <w:gridCol w:w="1541"/>
      </w:tblGrid>
      <w:tr w:rsidR="007A2F4D" w:rsidRPr="00741E38" w:rsidTr="00C44909">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749" w:type="dxa"/>
            <w:vAlign w:val="center"/>
          </w:tcPr>
          <w:p w:rsidR="007A2F4D" w:rsidRPr="00741E38" w:rsidRDefault="007A2F4D" w:rsidP="00C95E78">
            <w:pPr>
              <w:jc w:val="center"/>
              <w:rPr>
                <w:rFonts w:ascii="Tahoma" w:hAnsi="Tahoma" w:cs="Tahoma"/>
                <w:bCs w:val="0"/>
                <w:color w:val="000000"/>
                <w:szCs w:val="24"/>
              </w:rPr>
            </w:pPr>
            <w:r w:rsidRPr="00741E38">
              <w:rPr>
                <w:rFonts w:ascii="Tahoma" w:hAnsi="Tahoma" w:cs="Tahoma"/>
                <w:bCs w:val="0"/>
                <w:szCs w:val="24"/>
              </w:rPr>
              <w:t>META</w:t>
            </w:r>
          </w:p>
        </w:tc>
        <w:tc>
          <w:tcPr>
            <w:tcW w:w="1960" w:type="dxa"/>
            <w:vAlign w:val="center"/>
          </w:tcPr>
          <w:p w:rsidR="007A2F4D" w:rsidRPr="00741E38" w:rsidRDefault="007A2F4D" w:rsidP="00C95E78">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szCs w:val="24"/>
              </w:rPr>
            </w:pPr>
            <w:r w:rsidRPr="00741E38">
              <w:rPr>
                <w:rFonts w:ascii="Tahoma" w:hAnsi="Tahoma" w:cs="Tahoma"/>
                <w:bCs w:val="0"/>
                <w:szCs w:val="24"/>
              </w:rPr>
              <w:t>UNIDAD DE MEDIDA</w:t>
            </w:r>
          </w:p>
        </w:tc>
        <w:tc>
          <w:tcPr>
            <w:tcW w:w="1680" w:type="dxa"/>
            <w:vAlign w:val="center"/>
          </w:tcPr>
          <w:p w:rsidR="007A2F4D" w:rsidRPr="00741E38" w:rsidRDefault="007A2F4D" w:rsidP="00C95E78">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szCs w:val="24"/>
              </w:rPr>
            </w:pPr>
            <w:r w:rsidRPr="00741E38">
              <w:rPr>
                <w:rFonts w:ascii="Tahoma" w:hAnsi="Tahoma" w:cs="Tahoma"/>
                <w:bCs w:val="0"/>
                <w:szCs w:val="24"/>
              </w:rPr>
              <w:t>CANTIDAD ANUAL</w:t>
            </w:r>
          </w:p>
        </w:tc>
        <w:tc>
          <w:tcPr>
            <w:tcW w:w="1541" w:type="dxa"/>
            <w:vAlign w:val="center"/>
          </w:tcPr>
          <w:p w:rsidR="007A2F4D" w:rsidRPr="00741E38" w:rsidRDefault="007A2F4D" w:rsidP="00C95E78">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szCs w:val="24"/>
              </w:rPr>
            </w:pPr>
            <w:r w:rsidRPr="00741E38">
              <w:rPr>
                <w:rFonts w:ascii="Tahoma" w:hAnsi="Tahoma" w:cs="Tahoma"/>
                <w:bCs w:val="0"/>
                <w:szCs w:val="24"/>
              </w:rPr>
              <w:t>LOCALIDAD</w:t>
            </w:r>
          </w:p>
        </w:tc>
      </w:tr>
      <w:tr w:rsidR="007A2F4D" w:rsidRPr="00C95E78" w:rsidTr="008F6FAE">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749" w:type="dxa"/>
            <w:vAlign w:val="center"/>
            <w:hideMark/>
          </w:tcPr>
          <w:p w:rsidR="007A2F4D" w:rsidRPr="00C95E78" w:rsidRDefault="00221780" w:rsidP="00221780">
            <w:pPr>
              <w:rPr>
                <w:rFonts w:ascii="Tahoma" w:eastAsia="Times New Roman" w:hAnsi="Tahoma" w:cs="Tahoma"/>
                <w:color w:val="000000"/>
                <w:sz w:val="20"/>
                <w:szCs w:val="24"/>
                <w:lang w:eastAsia="es-MX"/>
              </w:rPr>
            </w:pPr>
            <w:r w:rsidRPr="00C95E78">
              <w:rPr>
                <w:rFonts w:ascii="Tahoma" w:eastAsia="Times New Roman" w:hAnsi="Tahoma" w:cs="Tahoma"/>
                <w:color w:val="000000"/>
                <w:sz w:val="20"/>
                <w:szCs w:val="24"/>
                <w:lang w:eastAsia="es-MX"/>
              </w:rPr>
              <w:t>73-Promover y gestionar las Participaciones Federales, Aportaciones del Ramo 33 y otras aportaciones.</w:t>
            </w:r>
          </w:p>
        </w:tc>
        <w:tc>
          <w:tcPr>
            <w:tcW w:w="1960" w:type="dxa"/>
            <w:vAlign w:val="center"/>
            <w:hideMark/>
          </w:tcPr>
          <w:p w:rsidR="007A2F4D" w:rsidRPr="00C95E78" w:rsidRDefault="00221780"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4"/>
                <w:szCs w:val="24"/>
                <w:lang w:eastAsia="es-MX"/>
              </w:rPr>
            </w:pPr>
            <w:r w:rsidRPr="00C95E78">
              <w:rPr>
                <w:rFonts w:ascii="Tahoma" w:eastAsia="Times New Roman" w:hAnsi="Tahoma" w:cs="Tahoma"/>
                <w:color w:val="000000"/>
                <w:sz w:val="24"/>
                <w:szCs w:val="24"/>
                <w:lang w:eastAsia="es-MX"/>
              </w:rPr>
              <w:t>451- Millón de pesos</w:t>
            </w:r>
          </w:p>
        </w:tc>
        <w:tc>
          <w:tcPr>
            <w:tcW w:w="1680" w:type="dxa"/>
            <w:vAlign w:val="center"/>
            <w:hideMark/>
          </w:tcPr>
          <w:p w:rsidR="007A2F4D" w:rsidRPr="00C95E78" w:rsidRDefault="00221780" w:rsidP="0022178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4"/>
                <w:szCs w:val="24"/>
                <w:lang w:eastAsia="es-MX"/>
              </w:rPr>
            </w:pPr>
            <w:r w:rsidRPr="00C95E78">
              <w:rPr>
                <w:rFonts w:ascii="Tahoma" w:eastAsia="Times New Roman" w:hAnsi="Tahoma" w:cs="Tahoma"/>
                <w:color w:val="000000"/>
                <w:sz w:val="24"/>
                <w:szCs w:val="24"/>
                <w:lang w:eastAsia="es-MX"/>
              </w:rPr>
              <w:t>40,118.91</w:t>
            </w:r>
          </w:p>
        </w:tc>
        <w:tc>
          <w:tcPr>
            <w:tcW w:w="1541" w:type="dxa"/>
            <w:vAlign w:val="center"/>
            <w:hideMark/>
          </w:tcPr>
          <w:p w:rsidR="007A2F4D" w:rsidRPr="00C95E78" w:rsidRDefault="00221780" w:rsidP="0022178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4"/>
                <w:szCs w:val="24"/>
                <w:lang w:eastAsia="es-MX"/>
              </w:rPr>
            </w:pPr>
            <w:r w:rsidRPr="00C95E78">
              <w:rPr>
                <w:rFonts w:ascii="Tahoma" w:eastAsia="Times New Roman" w:hAnsi="Tahoma" w:cs="Tahoma"/>
                <w:color w:val="000000"/>
                <w:sz w:val="24"/>
                <w:szCs w:val="24"/>
                <w:lang w:eastAsia="es-MX"/>
              </w:rPr>
              <w:t>1 Estatal</w:t>
            </w:r>
          </w:p>
        </w:tc>
      </w:tr>
      <w:tr w:rsidR="007A2F4D" w:rsidRPr="00741E38" w:rsidTr="00C44909">
        <w:trPr>
          <w:trHeight w:val="596"/>
        </w:trPr>
        <w:tc>
          <w:tcPr>
            <w:cnfStyle w:val="001000000000" w:firstRow="0" w:lastRow="0" w:firstColumn="1" w:lastColumn="0" w:oddVBand="0" w:evenVBand="0" w:oddHBand="0" w:evenHBand="0" w:firstRowFirstColumn="0" w:firstRowLastColumn="0" w:lastRowFirstColumn="0" w:lastRowLastColumn="0"/>
            <w:tcW w:w="3749" w:type="dxa"/>
            <w:shd w:val="clear" w:color="auto" w:fill="C0504D" w:themeFill="accent2"/>
            <w:vAlign w:val="center"/>
          </w:tcPr>
          <w:p w:rsidR="007A2F4D" w:rsidRPr="00741E38" w:rsidRDefault="007A2F4D" w:rsidP="00C95E78">
            <w:pPr>
              <w:jc w:val="center"/>
              <w:rPr>
                <w:rFonts w:ascii="Tahoma" w:hAnsi="Tahoma" w:cs="Tahoma"/>
                <w:bCs w:val="0"/>
                <w:color w:val="FFFFFF" w:themeColor="background1"/>
                <w:szCs w:val="24"/>
              </w:rPr>
            </w:pPr>
            <w:r w:rsidRPr="00741E38">
              <w:rPr>
                <w:rFonts w:ascii="Tahoma" w:hAnsi="Tahoma" w:cs="Tahoma"/>
                <w:bCs w:val="0"/>
                <w:color w:val="FFFFFF" w:themeColor="background1"/>
                <w:szCs w:val="24"/>
              </w:rPr>
              <w:t>ACCIÓN</w:t>
            </w:r>
          </w:p>
        </w:tc>
        <w:tc>
          <w:tcPr>
            <w:tcW w:w="1960" w:type="dxa"/>
            <w:shd w:val="clear" w:color="auto" w:fill="C0504D" w:themeFill="accent2"/>
            <w:vAlign w:val="center"/>
          </w:tcPr>
          <w:p w:rsidR="007A2F4D" w:rsidRPr="00741E38" w:rsidRDefault="007A2F4D" w:rsidP="00C95E7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FFFFFF" w:themeColor="background1"/>
                <w:szCs w:val="24"/>
              </w:rPr>
            </w:pPr>
            <w:r w:rsidRPr="00741E38">
              <w:rPr>
                <w:rFonts w:ascii="Tahoma" w:hAnsi="Tahoma" w:cs="Tahoma"/>
                <w:b/>
                <w:bCs/>
                <w:color w:val="FFFFFF" w:themeColor="background1"/>
                <w:szCs w:val="24"/>
              </w:rPr>
              <w:t>UNIDAD DE MEDIDA</w:t>
            </w:r>
          </w:p>
        </w:tc>
        <w:tc>
          <w:tcPr>
            <w:tcW w:w="1680" w:type="dxa"/>
            <w:shd w:val="clear" w:color="auto" w:fill="C0504D" w:themeFill="accent2"/>
            <w:vAlign w:val="center"/>
          </w:tcPr>
          <w:p w:rsidR="007A2F4D" w:rsidRPr="00741E38" w:rsidRDefault="007A2F4D" w:rsidP="00C95E7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FFFFFF" w:themeColor="background1"/>
                <w:szCs w:val="24"/>
              </w:rPr>
            </w:pPr>
            <w:r w:rsidRPr="00741E38">
              <w:rPr>
                <w:rFonts w:ascii="Tahoma" w:hAnsi="Tahoma" w:cs="Tahoma"/>
                <w:b/>
                <w:bCs/>
                <w:color w:val="FFFFFF" w:themeColor="background1"/>
                <w:szCs w:val="24"/>
              </w:rPr>
              <w:t>TIPO CALCULO</w:t>
            </w:r>
          </w:p>
        </w:tc>
        <w:tc>
          <w:tcPr>
            <w:tcW w:w="1541" w:type="dxa"/>
            <w:shd w:val="clear" w:color="auto" w:fill="C0504D" w:themeFill="accent2"/>
            <w:vAlign w:val="center"/>
          </w:tcPr>
          <w:p w:rsidR="007A2F4D" w:rsidRPr="00741E38" w:rsidRDefault="007A2F4D" w:rsidP="00C95E7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FFFFFF" w:themeColor="background1"/>
                <w:szCs w:val="24"/>
              </w:rPr>
            </w:pPr>
            <w:r w:rsidRPr="00741E38">
              <w:rPr>
                <w:rFonts w:ascii="Tahoma" w:hAnsi="Tahoma" w:cs="Tahoma"/>
                <w:b/>
                <w:bCs/>
                <w:color w:val="FFFFFF" w:themeColor="background1"/>
                <w:szCs w:val="24"/>
              </w:rPr>
              <w:t>CANTIDAD ANUAL</w:t>
            </w:r>
          </w:p>
        </w:tc>
      </w:tr>
      <w:tr w:rsidR="007A2F4D" w:rsidRPr="00C95E78" w:rsidTr="00252C0F">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3749" w:type="dxa"/>
            <w:vAlign w:val="center"/>
            <w:hideMark/>
          </w:tcPr>
          <w:p w:rsidR="007A2F4D" w:rsidRPr="00C95E78" w:rsidRDefault="00221780" w:rsidP="00221780">
            <w:pPr>
              <w:rPr>
                <w:rFonts w:ascii="Tahoma" w:eastAsia="Times New Roman" w:hAnsi="Tahoma" w:cs="Tahoma"/>
                <w:color w:val="000000"/>
                <w:sz w:val="20"/>
                <w:szCs w:val="24"/>
                <w:lang w:eastAsia="es-MX"/>
              </w:rPr>
            </w:pPr>
            <w:r w:rsidRPr="00C95E78">
              <w:rPr>
                <w:rFonts w:ascii="Tahoma" w:eastAsia="Times New Roman" w:hAnsi="Tahoma" w:cs="Tahoma"/>
                <w:color w:val="000000"/>
                <w:sz w:val="20"/>
                <w:szCs w:val="24"/>
                <w:lang w:eastAsia="es-MX"/>
              </w:rPr>
              <w:t>1-Gestionar y supervisar las Participaciones Federales, Aportaciones del Ramo 33 y otras aportaciones</w:t>
            </w:r>
          </w:p>
        </w:tc>
        <w:tc>
          <w:tcPr>
            <w:tcW w:w="1960" w:type="dxa"/>
            <w:vAlign w:val="center"/>
            <w:hideMark/>
          </w:tcPr>
          <w:p w:rsidR="007A2F4D" w:rsidRPr="00C95E78" w:rsidRDefault="00221780" w:rsidP="0022178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4"/>
                <w:szCs w:val="24"/>
                <w:lang w:eastAsia="es-MX"/>
              </w:rPr>
            </w:pPr>
            <w:r w:rsidRPr="00C95E78">
              <w:rPr>
                <w:rFonts w:ascii="Tahoma" w:eastAsia="Times New Roman" w:hAnsi="Tahoma" w:cs="Tahoma"/>
                <w:color w:val="000000"/>
                <w:sz w:val="24"/>
                <w:szCs w:val="24"/>
                <w:lang w:eastAsia="es-MX"/>
              </w:rPr>
              <w:t>356- Informe de seguimiento</w:t>
            </w:r>
          </w:p>
        </w:tc>
        <w:tc>
          <w:tcPr>
            <w:tcW w:w="1680" w:type="dxa"/>
            <w:vAlign w:val="center"/>
            <w:hideMark/>
          </w:tcPr>
          <w:p w:rsidR="007A2F4D" w:rsidRPr="00C95E78" w:rsidRDefault="00221780" w:rsidP="0022178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4"/>
                <w:szCs w:val="24"/>
                <w:lang w:eastAsia="es-MX"/>
              </w:rPr>
            </w:pPr>
            <w:r w:rsidRPr="00C95E78">
              <w:rPr>
                <w:rFonts w:ascii="Tahoma" w:eastAsia="Times New Roman" w:hAnsi="Tahoma" w:cs="Tahoma"/>
                <w:color w:val="000000"/>
                <w:sz w:val="24"/>
                <w:szCs w:val="24"/>
                <w:lang w:eastAsia="es-MX"/>
              </w:rPr>
              <w:t>Acumulado</w:t>
            </w:r>
          </w:p>
        </w:tc>
        <w:tc>
          <w:tcPr>
            <w:tcW w:w="1541" w:type="dxa"/>
            <w:vAlign w:val="center"/>
            <w:hideMark/>
          </w:tcPr>
          <w:p w:rsidR="007A2F4D" w:rsidRPr="00C95E78" w:rsidRDefault="00221780" w:rsidP="0022178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4"/>
                <w:szCs w:val="24"/>
                <w:lang w:eastAsia="es-MX"/>
              </w:rPr>
            </w:pPr>
            <w:r w:rsidRPr="00C95E78">
              <w:rPr>
                <w:rFonts w:ascii="Tahoma" w:eastAsia="Times New Roman" w:hAnsi="Tahoma" w:cs="Tahoma"/>
                <w:color w:val="000000"/>
                <w:sz w:val="24"/>
                <w:szCs w:val="24"/>
                <w:lang w:eastAsia="es-MX"/>
              </w:rPr>
              <w:t>4</w:t>
            </w:r>
          </w:p>
        </w:tc>
      </w:tr>
    </w:tbl>
    <w:p w:rsidR="002850EF" w:rsidRPr="00252C0F" w:rsidRDefault="00252C0F" w:rsidP="00252C0F">
      <w:pPr>
        <w:pStyle w:val="ListParagraph"/>
        <w:ind w:left="0"/>
        <w:jc w:val="both"/>
        <w:rPr>
          <w:rFonts w:ascii="Tahoma" w:eastAsiaTheme="minorHAnsi" w:hAnsi="Tahoma" w:cs="Tahoma"/>
          <w:sz w:val="20"/>
        </w:rPr>
      </w:pPr>
      <w:r>
        <w:rPr>
          <w:rFonts w:ascii="Tahoma" w:eastAsiaTheme="minorHAnsi" w:hAnsi="Tahoma" w:cs="Tahoma"/>
          <w:sz w:val="20"/>
        </w:rPr>
        <w:t xml:space="preserve">Fuente: </w:t>
      </w:r>
      <w:r w:rsidR="00DD53BA" w:rsidRPr="00252C0F">
        <w:rPr>
          <w:rFonts w:ascii="Tahoma" w:hAnsi="Tahoma" w:cs="Tahoma"/>
          <w:sz w:val="20"/>
        </w:rPr>
        <w:t xml:space="preserve">Elaboración propia con información de: </w:t>
      </w:r>
      <w:r>
        <w:rPr>
          <w:rFonts w:ascii="Tahoma" w:eastAsiaTheme="minorHAnsi" w:hAnsi="Tahoma" w:cs="Tahoma"/>
          <w:sz w:val="20"/>
        </w:rPr>
        <w:t xml:space="preserve">Programa Operativo Anual, Ramo 07, Secretaría de Planeación y Finanzas del Gobierno del Estado de Baja California, al Cierre del ejercicio 2017. </w:t>
      </w:r>
    </w:p>
    <w:p w:rsidR="00252C0F" w:rsidRDefault="00252C0F" w:rsidP="008F6FAE">
      <w:pPr>
        <w:spacing w:after="120" w:line="240" w:lineRule="auto"/>
        <w:jc w:val="both"/>
        <w:rPr>
          <w:rFonts w:ascii="Tahoma" w:hAnsi="Tahoma" w:cs="Tahoma"/>
          <w:sz w:val="24"/>
          <w:szCs w:val="24"/>
        </w:rPr>
      </w:pPr>
    </w:p>
    <w:p w:rsidR="00741E38" w:rsidRPr="00741E38" w:rsidRDefault="008F6FAE" w:rsidP="002850EF">
      <w:pPr>
        <w:spacing w:after="480" w:line="480" w:lineRule="auto"/>
        <w:jc w:val="both"/>
        <w:rPr>
          <w:rFonts w:ascii="Tahoma" w:hAnsi="Tahoma" w:cs="Tahoma"/>
          <w:szCs w:val="24"/>
        </w:rPr>
      </w:pPr>
      <w:r w:rsidRPr="002850EF">
        <w:rPr>
          <w:rFonts w:ascii="Tahoma" w:hAnsi="Tahoma" w:cs="Tahoma"/>
          <w:noProof/>
          <w:sz w:val="24"/>
          <w:szCs w:val="24"/>
          <w:lang w:val="en-US"/>
        </w:rPr>
        <w:drawing>
          <wp:anchor distT="0" distB="0" distL="114300" distR="114300" simplePos="0" relativeHeight="251677184" behindDoc="0" locked="0" layoutInCell="1" allowOverlap="1" wp14:anchorId="54CA3537" wp14:editId="6C685213">
            <wp:simplePos x="0" y="0"/>
            <wp:positionH relativeFrom="margin">
              <wp:align>left</wp:align>
            </wp:positionH>
            <wp:positionV relativeFrom="paragraph">
              <wp:posOffset>102235</wp:posOffset>
            </wp:positionV>
            <wp:extent cx="1440180" cy="1282065"/>
            <wp:effectExtent l="0" t="0" r="0" b="0"/>
            <wp:wrapSquare wrapText="bothSides"/>
            <wp:docPr id="33" name="Imagen 33" descr="Image result for pulgar y figura exce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lgar y figura excelente"/>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0" b="9959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484055" cy="1321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0EF" w:rsidRPr="002850EF">
        <w:rPr>
          <w:rFonts w:ascii="Tahoma" w:hAnsi="Tahoma" w:cs="Tahoma"/>
          <w:sz w:val="24"/>
          <w:szCs w:val="24"/>
        </w:rPr>
        <w:t>La meta realizada fue: $44,064.03 Millones de pesos. La meta programada fue: $40,118.91 Millones de pesos</w:t>
      </w:r>
      <w:r w:rsidR="002850EF">
        <w:rPr>
          <w:rFonts w:ascii="Tahoma" w:hAnsi="Tahoma" w:cs="Tahoma"/>
          <w:szCs w:val="24"/>
        </w:rPr>
        <w:t xml:space="preserve">. </w:t>
      </w:r>
      <w:r w:rsidR="00811288">
        <w:rPr>
          <w:rFonts w:ascii="Tahoma" w:hAnsi="Tahoma" w:cs="Tahoma"/>
          <w:sz w:val="24"/>
          <w:szCs w:val="24"/>
        </w:rPr>
        <w:t xml:space="preserve">La Dependencia alcanzo un </w:t>
      </w:r>
      <w:r w:rsidR="00811288" w:rsidRPr="007A7FBF">
        <w:rPr>
          <w:rFonts w:ascii="Tahoma" w:hAnsi="Tahoma" w:cs="Tahoma"/>
          <w:b/>
          <w:color w:val="943634" w:themeColor="accent2" w:themeShade="BF"/>
          <w:sz w:val="32"/>
          <w:szCs w:val="24"/>
        </w:rPr>
        <w:t>103.9% de eficiencia</w:t>
      </w:r>
      <w:r w:rsidR="00811288">
        <w:rPr>
          <w:rFonts w:ascii="Tahoma" w:hAnsi="Tahoma" w:cs="Tahoma"/>
          <w:sz w:val="24"/>
          <w:szCs w:val="24"/>
        </w:rPr>
        <w:t xml:space="preserve">, con una valoración </w:t>
      </w:r>
      <w:r w:rsidR="00811288" w:rsidRPr="00811288">
        <w:rPr>
          <w:rFonts w:ascii="Tahoma" w:hAnsi="Tahoma" w:cs="Tahoma"/>
          <w:b/>
          <w:color w:val="943634" w:themeColor="accent2" w:themeShade="BF"/>
          <w:sz w:val="32"/>
          <w:szCs w:val="24"/>
        </w:rPr>
        <w:t>Excelente.</w:t>
      </w:r>
      <w:r w:rsidR="00811288">
        <w:rPr>
          <w:rFonts w:ascii="Tahoma" w:hAnsi="Tahoma" w:cs="Tahoma"/>
          <w:sz w:val="24"/>
          <w:szCs w:val="24"/>
        </w:rPr>
        <w:t xml:space="preserve"> Este</w:t>
      </w:r>
      <w:r w:rsidR="00811288" w:rsidRPr="00741E38">
        <w:rPr>
          <w:rFonts w:ascii="Tahoma" w:hAnsi="Tahoma" w:cs="Tahoma"/>
          <w:sz w:val="24"/>
          <w:szCs w:val="24"/>
        </w:rPr>
        <w:t xml:space="preserve"> </w:t>
      </w:r>
      <w:r w:rsidR="00811288">
        <w:rPr>
          <w:rFonts w:ascii="Tahoma" w:hAnsi="Tahoma" w:cs="Tahoma"/>
          <w:sz w:val="24"/>
          <w:szCs w:val="24"/>
        </w:rPr>
        <w:t xml:space="preserve">resultado </w:t>
      </w:r>
      <w:r w:rsidR="00811288" w:rsidRPr="00741E38">
        <w:rPr>
          <w:rFonts w:ascii="Tahoma" w:hAnsi="Tahoma" w:cs="Tahoma"/>
          <w:sz w:val="24"/>
          <w:szCs w:val="24"/>
        </w:rPr>
        <w:t xml:space="preserve">por arriba de lo </w:t>
      </w:r>
      <w:r w:rsidR="00E0113E" w:rsidRPr="00741E38">
        <w:rPr>
          <w:rFonts w:ascii="Tahoma" w:hAnsi="Tahoma" w:cs="Tahoma"/>
          <w:sz w:val="24"/>
          <w:szCs w:val="24"/>
        </w:rPr>
        <w:t>pr</w:t>
      </w:r>
      <w:r w:rsidR="00E0113E">
        <w:rPr>
          <w:rFonts w:ascii="Tahoma" w:hAnsi="Tahoma" w:cs="Tahoma"/>
          <w:sz w:val="24"/>
          <w:szCs w:val="24"/>
        </w:rPr>
        <w:t>ogramado</w:t>
      </w:r>
      <w:r w:rsidR="00811288">
        <w:rPr>
          <w:rFonts w:ascii="Tahoma" w:hAnsi="Tahoma" w:cs="Tahoma"/>
          <w:sz w:val="24"/>
          <w:szCs w:val="24"/>
        </w:rPr>
        <w:t xml:space="preserve"> </w:t>
      </w:r>
      <w:r w:rsidR="00811288" w:rsidRPr="00741E38">
        <w:rPr>
          <w:rFonts w:ascii="Tahoma" w:hAnsi="Tahoma" w:cs="Tahoma"/>
          <w:sz w:val="24"/>
          <w:szCs w:val="24"/>
        </w:rPr>
        <w:t>corresponde principalmente a</w:t>
      </w:r>
      <w:r w:rsidR="00811288">
        <w:rPr>
          <w:rFonts w:ascii="Tahoma" w:hAnsi="Tahoma" w:cs="Tahoma"/>
          <w:sz w:val="24"/>
          <w:szCs w:val="24"/>
        </w:rPr>
        <w:t xml:space="preserve"> que en el</w:t>
      </w:r>
      <w:r w:rsidR="00811288" w:rsidRPr="00741E38">
        <w:rPr>
          <w:rFonts w:ascii="Tahoma" w:hAnsi="Tahoma" w:cs="Tahoma"/>
          <w:sz w:val="24"/>
          <w:szCs w:val="24"/>
        </w:rPr>
        <w:t xml:space="preserve"> Fondo General De Participaciones</w:t>
      </w:r>
      <w:r w:rsidR="00811288">
        <w:rPr>
          <w:rFonts w:ascii="Tahoma" w:hAnsi="Tahoma" w:cs="Tahoma"/>
          <w:sz w:val="24"/>
          <w:szCs w:val="24"/>
        </w:rPr>
        <w:t>,</w:t>
      </w:r>
      <w:r w:rsidR="00811288" w:rsidRPr="00741E38">
        <w:rPr>
          <w:rFonts w:ascii="Tahoma" w:hAnsi="Tahoma" w:cs="Tahoma"/>
          <w:sz w:val="24"/>
          <w:szCs w:val="24"/>
        </w:rPr>
        <w:t xml:space="preserve"> </w:t>
      </w:r>
      <w:r w:rsidR="00811288">
        <w:rPr>
          <w:rFonts w:ascii="Tahoma" w:hAnsi="Tahoma" w:cs="Tahoma"/>
          <w:sz w:val="24"/>
          <w:szCs w:val="24"/>
        </w:rPr>
        <w:t>se presentó</w:t>
      </w:r>
      <w:r w:rsidR="00811288" w:rsidRPr="00741E38">
        <w:rPr>
          <w:rFonts w:ascii="Tahoma" w:hAnsi="Tahoma" w:cs="Tahoma"/>
          <w:sz w:val="24"/>
          <w:szCs w:val="24"/>
        </w:rPr>
        <w:t xml:space="preserve"> una mayor recaudación participable, </w:t>
      </w:r>
      <w:r w:rsidR="00811288">
        <w:rPr>
          <w:rFonts w:ascii="Tahoma" w:hAnsi="Tahoma" w:cs="Tahoma"/>
          <w:sz w:val="24"/>
          <w:szCs w:val="24"/>
        </w:rPr>
        <w:t xml:space="preserve">por otra parte </w:t>
      </w:r>
      <w:r w:rsidR="00811288" w:rsidRPr="00741E38">
        <w:rPr>
          <w:rFonts w:ascii="Tahoma" w:hAnsi="Tahoma" w:cs="Tahoma"/>
          <w:sz w:val="24"/>
          <w:szCs w:val="24"/>
        </w:rPr>
        <w:t>los recursos por convenios y subsidios por reconocimiento de la norma de armonización contable</w:t>
      </w:r>
      <w:r w:rsidR="00811288">
        <w:rPr>
          <w:rFonts w:ascii="Tahoma" w:hAnsi="Tahoma" w:cs="Tahoma"/>
          <w:sz w:val="24"/>
          <w:szCs w:val="24"/>
        </w:rPr>
        <w:t xml:space="preserve"> también tuvieron un incremento</w:t>
      </w:r>
      <w:r w:rsidR="00811288" w:rsidRPr="00741E38">
        <w:rPr>
          <w:rFonts w:ascii="Tahoma" w:hAnsi="Tahoma" w:cs="Tahoma"/>
          <w:sz w:val="24"/>
          <w:szCs w:val="24"/>
        </w:rPr>
        <w:t>.</w:t>
      </w:r>
      <w:r w:rsidR="002850EF">
        <w:rPr>
          <w:rFonts w:ascii="Tahoma" w:hAnsi="Tahoma" w:cs="Tahoma"/>
          <w:sz w:val="24"/>
          <w:szCs w:val="24"/>
        </w:rPr>
        <w:t xml:space="preserve"> Sin embargo su seguimiento no es específico, dado que el resultado de la meta incluye los montos recabados de todas las fuentes de financiamiento incluidas en la misma.</w:t>
      </w:r>
    </w:p>
    <w:p w:rsidR="008F6FAE" w:rsidRPr="00252C0F" w:rsidRDefault="00C95E78" w:rsidP="008F6FAE">
      <w:pPr>
        <w:pStyle w:val="ListParagraph"/>
        <w:ind w:left="0"/>
        <w:jc w:val="both"/>
        <w:rPr>
          <w:rFonts w:ascii="Tahoma" w:eastAsiaTheme="minorHAnsi" w:hAnsi="Tahoma" w:cs="Tahoma"/>
          <w:sz w:val="20"/>
        </w:rPr>
      </w:pPr>
      <w:r>
        <w:rPr>
          <w:noProof/>
          <w:lang w:val="en-US"/>
        </w:rPr>
        <w:drawing>
          <wp:inline distT="0" distB="0" distL="0" distR="0" wp14:anchorId="099E9C2B" wp14:editId="554E25B3">
            <wp:extent cx="5591175" cy="2257425"/>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F6FAE" w:rsidRPr="008F6FAE">
        <w:rPr>
          <w:rFonts w:ascii="Tahoma" w:eastAsiaTheme="minorHAnsi" w:hAnsi="Tahoma" w:cs="Tahoma"/>
          <w:sz w:val="20"/>
        </w:rPr>
        <w:t xml:space="preserve"> </w:t>
      </w:r>
      <w:r w:rsidR="008F6FAE">
        <w:rPr>
          <w:rFonts w:ascii="Tahoma" w:eastAsiaTheme="minorHAnsi" w:hAnsi="Tahoma" w:cs="Tahoma"/>
          <w:sz w:val="20"/>
        </w:rPr>
        <w:t xml:space="preserve">Fuente: </w:t>
      </w:r>
      <w:r w:rsidR="00DD53BA" w:rsidRPr="00252C0F">
        <w:rPr>
          <w:rFonts w:ascii="Tahoma" w:hAnsi="Tahoma" w:cs="Tahoma"/>
          <w:sz w:val="20"/>
        </w:rPr>
        <w:t xml:space="preserve">Elaboración propia con información de: </w:t>
      </w:r>
      <w:r w:rsidR="008F6FAE">
        <w:rPr>
          <w:rFonts w:ascii="Tahoma" w:eastAsiaTheme="minorHAnsi" w:hAnsi="Tahoma" w:cs="Tahoma"/>
          <w:sz w:val="20"/>
        </w:rPr>
        <w:t xml:space="preserve">Programa Operativo Anual, Ramo 07, Secretaría de Planeación y Finanzas del Gobierno del Estado de Baja California, al Cierre del ejercicio 2017. </w:t>
      </w:r>
    </w:p>
    <w:p w:rsidR="005C54B6" w:rsidRDefault="005C54B6" w:rsidP="005C54B6">
      <w:pPr>
        <w:spacing w:after="480" w:line="480" w:lineRule="auto"/>
        <w:jc w:val="both"/>
        <w:rPr>
          <w:rFonts w:ascii="Tahoma" w:hAnsi="Tahoma" w:cs="Tahoma"/>
          <w:sz w:val="24"/>
          <w:szCs w:val="24"/>
        </w:rPr>
      </w:pPr>
    </w:p>
    <w:p w:rsidR="007A7FBF" w:rsidRPr="007A7FBF" w:rsidRDefault="007A7FBF" w:rsidP="007A7FBF">
      <w:pPr>
        <w:pStyle w:val="Heading2"/>
        <w:rPr>
          <w:color w:val="943634" w:themeColor="accent2" w:themeShade="BF"/>
          <w:lang w:val="es-ES" w:eastAsia="es-MX"/>
        </w:rPr>
      </w:pPr>
      <w:bookmarkStart w:id="14" w:name="_Toc520556943"/>
      <w:r w:rsidRPr="007A7FBF">
        <w:rPr>
          <w:color w:val="943634" w:themeColor="accent2" w:themeShade="BF"/>
          <w:lang w:val="es-ES" w:eastAsia="es-MX"/>
        </w:rPr>
        <w:t>Análisis de los indicadores</w:t>
      </w:r>
      <w:bookmarkEnd w:id="14"/>
    </w:p>
    <w:p w:rsidR="00F80D58" w:rsidRDefault="00F80D58" w:rsidP="00573B70">
      <w:pPr>
        <w:pStyle w:val="ListParagraph"/>
        <w:ind w:left="1428"/>
        <w:jc w:val="both"/>
        <w:rPr>
          <w:rFonts w:ascii="Tahoma" w:hAnsi="Tahoma" w:cs="Tahoma"/>
          <w:szCs w:val="24"/>
          <w:lang w:val="es-ES" w:eastAsia="es-MX"/>
        </w:rPr>
      </w:pPr>
    </w:p>
    <w:p w:rsidR="00811288" w:rsidRDefault="00114ACA" w:rsidP="00811288">
      <w:pPr>
        <w:spacing w:after="480" w:line="480" w:lineRule="auto"/>
        <w:jc w:val="both"/>
        <w:rPr>
          <w:rFonts w:ascii="Tahoma" w:hAnsi="Tahoma" w:cs="Tahoma"/>
          <w:b/>
          <w:color w:val="943634" w:themeColor="accent2" w:themeShade="BF"/>
          <w:sz w:val="32"/>
          <w:szCs w:val="32"/>
        </w:rPr>
      </w:pPr>
      <w:r>
        <w:rPr>
          <w:noProof/>
          <w:lang w:val="en-US"/>
        </w:rPr>
        <w:drawing>
          <wp:anchor distT="0" distB="0" distL="114300" distR="114300" simplePos="0" relativeHeight="251682304" behindDoc="0" locked="0" layoutInCell="1" allowOverlap="1">
            <wp:simplePos x="0" y="0"/>
            <wp:positionH relativeFrom="margin">
              <wp:posOffset>3958590</wp:posOffset>
            </wp:positionH>
            <wp:positionV relativeFrom="paragraph">
              <wp:posOffset>8466</wp:posOffset>
            </wp:positionV>
            <wp:extent cx="1524000" cy="1551100"/>
            <wp:effectExtent l="0" t="0" r="0" b="0"/>
            <wp:wrapNone/>
            <wp:docPr id="38" name="Imagen 38" descr="Image result for grafica y 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fica y tache"/>
                    <pic:cNvPicPr>
                      <a:picLocks noChangeAspect="1" noChangeArrowheads="1"/>
                    </pic:cNvPicPr>
                  </pic:nvPicPr>
                  <pic:blipFill rotWithShape="1">
                    <a:blip r:embed="rId29">
                      <a:extLst>
                        <a:ext uri="{28A0092B-C50C-407E-A947-70E740481C1C}">
                          <a14:useLocalDpi xmlns:a14="http://schemas.microsoft.com/office/drawing/2010/main" val="0"/>
                        </a:ext>
                      </a:extLst>
                    </a:blip>
                    <a:srcRect l="18343" t="14201" r="17751" b="20414"/>
                    <a:stretch/>
                  </pic:blipFill>
                  <pic:spPr bwMode="auto">
                    <a:xfrm>
                      <a:off x="0" y="0"/>
                      <a:ext cx="1529834" cy="1557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1280" behindDoc="0" locked="0" layoutInCell="1" allowOverlap="1" wp14:anchorId="0FF2549E" wp14:editId="5EA4DB6F">
            <wp:simplePos x="0" y="0"/>
            <wp:positionH relativeFrom="column">
              <wp:posOffset>3857625</wp:posOffset>
            </wp:positionH>
            <wp:positionV relativeFrom="paragraph">
              <wp:posOffset>74930</wp:posOffset>
            </wp:positionV>
            <wp:extent cx="1676400" cy="1409700"/>
            <wp:effectExtent l="0" t="0" r="0" b="0"/>
            <wp:wrapSquare wrapText="bothSides"/>
            <wp:docPr id="39" name="Imagen 39" descr="Image result for m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triz"/>
                    <pic:cNvPicPr>
                      <a:picLocks noChangeAspect="1" noChangeArrowheads="1"/>
                    </pic:cNvPicPr>
                  </pic:nvPicPr>
                  <pic:blipFill rotWithShape="1">
                    <a:blip r:embed="rId30">
                      <a:extLst>
                        <a:ext uri="{28A0092B-C50C-407E-A947-70E740481C1C}">
                          <a14:useLocalDpi xmlns:a14="http://schemas.microsoft.com/office/drawing/2010/main" val="0"/>
                        </a:ext>
                      </a:extLst>
                    </a:blip>
                    <a:srcRect r="48387"/>
                    <a:stretch/>
                  </pic:blipFill>
                  <pic:spPr bwMode="auto">
                    <a:xfrm>
                      <a:off x="0" y="0"/>
                      <a:ext cx="1676400" cy="1409700"/>
                    </a:xfrm>
                    <a:prstGeom prst="rect">
                      <a:avLst/>
                    </a:prstGeom>
                    <a:noFill/>
                    <a:ln>
                      <a:noFill/>
                    </a:ln>
                    <a:extLst>
                      <a:ext uri="{53640926-AAD7-44D8-BBD7-CCE9431645EC}">
                        <a14:shadowObscured xmlns:a14="http://schemas.microsoft.com/office/drawing/2010/main"/>
                      </a:ext>
                    </a:extLst>
                  </pic:spPr>
                </pic:pic>
              </a:graphicData>
            </a:graphic>
          </wp:anchor>
        </w:drawing>
      </w:r>
      <w:r w:rsidR="00811288" w:rsidRPr="00B14744">
        <w:rPr>
          <w:rFonts w:ascii="Tahoma" w:hAnsi="Tahoma" w:cs="Tahoma"/>
          <w:sz w:val="24"/>
          <w:szCs w:val="24"/>
        </w:rPr>
        <w:t>Los indicadores establecidos se limitan al seguimiento presupuestal del 20% de los Rec</w:t>
      </w:r>
      <w:r w:rsidR="00811288">
        <w:rPr>
          <w:rFonts w:ascii="Tahoma" w:hAnsi="Tahoma" w:cs="Tahoma"/>
          <w:sz w:val="24"/>
          <w:szCs w:val="24"/>
        </w:rPr>
        <w:t>ursos Participables en el Estado.</w:t>
      </w:r>
      <w:r w:rsidR="005B4837">
        <w:rPr>
          <w:rFonts w:ascii="Tahoma" w:hAnsi="Tahoma" w:cs="Tahoma"/>
          <w:sz w:val="24"/>
          <w:szCs w:val="24"/>
        </w:rPr>
        <w:t xml:space="preserve"> </w:t>
      </w:r>
      <w:r w:rsidR="005B4837">
        <w:rPr>
          <w:rFonts w:ascii="Tahoma" w:hAnsi="Tahoma" w:cs="Tahoma"/>
          <w:b/>
          <w:color w:val="943634" w:themeColor="accent2" w:themeShade="BF"/>
          <w:sz w:val="32"/>
          <w:szCs w:val="32"/>
        </w:rPr>
        <w:t>NO cuenta con MIR</w:t>
      </w:r>
      <w:r w:rsidRPr="00114ACA">
        <w:rPr>
          <w:noProof/>
          <w:lang w:eastAsia="es-MX"/>
        </w:rPr>
        <w:t xml:space="preserve"> </w:t>
      </w:r>
    </w:p>
    <w:p w:rsidR="00B14744" w:rsidRPr="00811288" w:rsidRDefault="00114ACA" w:rsidP="00811288">
      <w:pPr>
        <w:spacing w:after="480" w:line="480" w:lineRule="auto"/>
        <w:jc w:val="both"/>
        <w:rPr>
          <w:rFonts w:ascii="Tahoma" w:hAnsi="Tahoma" w:cs="Tahoma"/>
          <w:b/>
          <w:color w:val="943634" w:themeColor="accent2" w:themeShade="BF"/>
          <w:sz w:val="32"/>
          <w:szCs w:val="24"/>
        </w:rPr>
      </w:pPr>
      <w:r w:rsidRPr="00114ACA">
        <w:rPr>
          <w:noProof/>
          <w:lang w:eastAsia="es-MX"/>
        </w:rPr>
        <w:t xml:space="preserve"> </w:t>
      </w:r>
      <w:r>
        <w:rPr>
          <w:noProof/>
          <w:lang w:val="en-US"/>
        </w:rPr>
        <w:drawing>
          <wp:anchor distT="0" distB="0" distL="114300" distR="114300" simplePos="0" relativeHeight="251675136" behindDoc="0" locked="0" layoutInCell="1" allowOverlap="1" wp14:anchorId="6E7FF89B" wp14:editId="3E71433A">
            <wp:simplePos x="0" y="0"/>
            <wp:positionH relativeFrom="margin">
              <wp:posOffset>3905885</wp:posOffset>
            </wp:positionH>
            <wp:positionV relativeFrom="paragraph">
              <wp:posOffset>0</wp:posOffset>
            </wp:positionV>
            <wp:extent cx="1858645" cy="1392555"/>
            <wp:effectExtent l="0" t="0" r="0" b="0"/>
            <wp:wrapSquare wrapText="bothSides"/>
            <wp:docPr id="34" name="Imagen 34" descr="Image result for pulgar y figura exce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lgar y figura excelente"/>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0" b="9959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858645" cy="1392555"/>
                    </a:xfrm>
                    <a:prstGeom prst="rect">
                      <a:avLst/>
                    </a:prstGeom>
                    <a:noFill/>
                    <a:ln>
                      <a:noFill/>
                    </a:ln>
                  </pic:spPr>
                </pic:pic>
              </a:graphicData>
            </a:graphic>
          </wp:anchor>
        </w:drawing>
      </w:r>
      <w:r w:rsidR="00B14744">
        <w:rPr>
          <w:rFonts w:ascii="Tahoma" w:hAnsi="Tahoma" w:cs="Tahoma"/>
          <w:sz w:val="24"/>
          <w:szCs w:val="24"/>
        </w:rPr>
        <w:t xml:space="preserve">El Estado realizo las transferencias de las participaciones a los Municipios al </w:t>
      </w:r>
      <w:r w:rsidR="00B14744" w:rsidRPr="005B4837">
        <w:rPr>
          <w:rFonts w:ascii="Tahoma" w:hAnsi="Tahoma" w:cs="Tahoma"/>
          <w:b/>
          <w:color w:val="943634" w:themeColor="accent2" w:themeShade="BF"/>
          <w:sz w:val="32"/>
          <w:szCs w:val="24"/>
        </w:rPr>
        <w:t>100%.</w:t>
      </w:r>
      <w:r w:rsidR="00B14744" w:rsidRPr="00811288">
        <w:rPr>
          <w:rFonts w:ascii="Tahoma" w:hAnsi="Tahoma" w:cs="Tahoma"/>
          <w:sz w:val="24"/>
          <w:szCs w:val="24"/>
        </w:rPr>
        <w:t xml:space="preserve"> </w:t>
      </w:r>
      <w:r w:rsidR="00811288" w:rsidRPr="00811288">
        <w:rPr>
          <w:rFonts w:ascii="Tahoma" w:hAnsi="Tahoma" w:cs="Tahoma"/>
          <w:sz w:val="24"/>
          <w:szCs w:val="24"/>
        </w:rPr>
        <w:t>Obteniendo una evaluación</w:t>
      </w:r>
      <w:r w:rsidR="00811288">
        <w:rPr>
          <w:rFonts w:ascii="Tahoma" w:hAnsi="Tahoma" w:cs="Tahoma"/>
          <w:color w:val="943634" w:themeColor="accent2" w:themeShade="BF"/>
          <w:sz w:val="36"/>
          <w:szCs w:val="24"/>
        </w:rPr>
        <w:t xml:space="preserve"> </w:t>
      </w:r>
      <w:r w:rsidR="00811288" w:rsidRPr="00811288">
        <w:rPr>
          <w:rFonts w:ascii="Tahoma" w:hAnsi="Tahoma" w:cs="Tahoma"/>
          <w:b/>
          <w:color w:val="943634" w:themeColor="accent2" w:themeShade="BF"/>
          <w:sz w:val="32"/>
          <w:szCs w:val="24"/>
        </w:rPr>
        <w:t>Excelente.</w:t>
      </w:r>
    </w:p>
    <w:p w:rsidR="00811288" w:rsidRDefault="00811288" w:rsidP="00811288">
      <w:pPr>
        <w:spacing w:after="0" w:line="240" w:lineRule="auto"/>
        <w:jc w:val="both"/>
        <w:rPr>
          <w:rFonts w:ascii="Tahoma" w:hAnsi="Tahoma" w:cs="Tahoma"/>
          <w:sz w:val="24"/>
          <w:szCs w:val="24"/>
        </w:rPr>
      </w:pPr>
    </w:p>
    <w:p w:rsidR="009C3CC4" w:rsidRDefault="009C3CC4" w:rsidP="00811288">
      <w:pPr>
        <w:spacing w:after="0" w:line="240" w:lineRule="auto"/>
        <w:jc w:val="both"/>
        <w:rPr>
          <w:rFonts w:ascii="Tahoma" w:hAnsi="Tahoma" w:cs="Tahoma"/>
          <w:sz w:val="24"/>
          <w:szCs w:val="24"/>
        </w:rPr>
      </w:pPr>
    </w:p>
    <w:tbl>
      <w:tblPr>
        <w:tblStyle w:val="Tabladelista4-nfasis21"/>
        <w:tblW w:w="8871" w:type="dxa"/>
        <w:tblLook w:val="04A0" w:firstRow="1" w:lastRow="0" w:firstColumn="1" w:lastColumn="0" w:noHBand="0" w:noVBand="1"/>
      </w:tblPr>
      <w:tblGrid>
        <w:gridCol w:w="3414"/>
        <w:gridCol w:w="3277"/>
        <w:gridCol w:w="2180"/>
      </w:tblGrid>
      <w:tr w:rsidR="00B14744" w:rsidRPr="00B14744" w:rsidTr="009C3CC4">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414" w:type="dxa"/>
            <w:vAlign w:val="center"/>
          </w:tcPr>
          <w:p w:rsidR="00B14744" w:rsidRPr="00B14744" w:rsidRDefault="00B14744" w:rsidP="00811288">
            <w:pPr>
              <w:jc w:val="center"/>
              <w:rPr>
                <w:rFonts w:ascii="Tahoma" w:eastAsia="Times New Roman" w:hAnsi="Tahoma" w:cs="Tahoma"/>
                <w:sz w:val="24"/>
                <w:szCs w:val="24"/>
                <w:lang w:eastAsia="es-MX"/>
              </w:rPr>
            </w:pPr>
            <w:r w:rsidRPr="00B14744">
              <w:rPr>
                <w:rFonts w:ascii="Tahoma" w:eastAsia="Times New Roman" w:hAnsi="Tahoma" w:cs="Tahoma"/>
                <w:sz w:val="24"/>
                <w:szCs w:val="24"/>
                <w:lang w:eastAsia="es-MX"/>
              </w:rPr>
              <w:t>Municipio</w:t>
            </w:r>
          </w:p>
        </w:tc>
        <w:tc>
          <w:tcPr>
            <w:tcW w:w="3277" w:type="dxa"/>
            <w:vAlign w:val="center"/>
          </w:tcPr>
          <w:p w:rsidR="00B14744" w:rsidRPr="00B14744" w:rsidRDefault="00B14744" w:rsidP="0081128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4"/>
                <w:szCs w:val="24"/>
                <w:lang w:eastAsia="es-MX"/>
              </w:rPr>
            </w:pPr>
            <w:r w:rsidRPr="00B14744">
              <w:rPr>
                <w:rFonts w:ascii="Tahoma" w:eastAsia="Times New Roman" w:hAnsi="Tahoma" w:cs="Tahoma"/>
                <w:sz w:val="24"/>
                <w:szCs w:val="24"/>
                <w:lang w:eastAsia="es-MX"/>
              </w:rPr>
              <w:t>Concepto</w:t>
            </w:r>
          </w:p>
        </w:tc>
        <w:tc>
          <w:tcPr>
            <w:tcW w:w="2180" w:type="dxa"/>
            <w:vAlign w:val="center"/>
          </w:tcPr>
          <w:p w:rsidR="00B14744" w:rsidRPr="00B14744" w:rsidRDefault="00B14744" w:rsidP="0081128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4"/>
                <w:szCs w:val="24"/>
                <w:lang w:eastAsia="es-MX"/>
              </w:rPr>
            </w:pPr>
            <w:r w:rsidRPr="00B14744">
              <w:rPr>
                <w:rFonts w:ascii="Tahoma" w:eastAsia="Times New Roman" w:hAnsi="Tahoma" w:cs="Tahoma"/>
                <w:sz w:val="24"/>
                <w:szCs w:val="24"/>
                <w:lang w:eastAsia="es-MX"/>
              </w:rPr>
              <w:t>Porcentaje</w:t>
            </w:r>
          </w:p>
        </w:tc>
      </w:tr>
      <w:tr w:rsidR="00B14744" w:rsidRPr="00B14744" w:rsidTr="009C3C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14" w:type="dxa"/>
            <w:vAlign w:val="center"/>
            <w:hideMark/>
          </w:tcPr>
          <w:p w:rsidR="00B14744" w:rsidRPr="008F6FAE" w:rsidRDefault="00B14744" w:rsidP="00512EF2">
            <w:pPr>
              <w:jc w:val="center"/>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AYUNTAMIENTO DE MEXICALI</w:t>
            </w:r>
          </w:p>
        </w:tc>
        <w:tc>
          <w:tcPr>
            <w:tcW w:w="3277" w:type="dxa"/>
            <w:vAlign w:val="center"/>
            <w:hideMark/>
          </w:tcPr>
          <w:p w:rsidR="00B14744" w:rsidRPr="008F6FAE" w:rsidRDefault="00B14744"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PARTICIPACIÓN SOBRE IMPUESTO ISR</w:t>
            </w:r>
          </w:p>
        </w:tc>
        <w:tc>
          <w:tcPr>
            <w:tcW w:w="2180" w:type="dxa"/>
            <w:vAlign w:val="center"/>
          </w:tcPr>
          <w:p w:rsidR="00B14744" w:rsidRPr="008F6FAE" w:rsidRDefault="00B14744" w:rsidP="00B1474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100%</w:t>
            </w:r>
          </w:p>
        </w:tc>
      </w:tr>
      <w:tr w:rsidR="00B14744" w:rsidRPr="00B14744" w:rsidTr="009C3CC4">
        <w:trPr>
          <w:trHeight w:val="680"/>
        </w:trPr>
        <w:tc>
          <w:tcPr>
            <w:cnfStyle w:val="001000000000" w:firstRow="0" w:lastRow="0" w:firstColumn="1" w:lastColumn="0" w:oddVBand="0" w:evenVBand="0" w:oddHBand="0" w:evenHBand="0" w:firstRowFirstColumn="0" w:firstRowLastColumn="0" w:lastRowFirstColumn="0" w:lastRowLastColumn="0"/>
            <w:tcW w:w="3414" w:type="dxa"/>
            <w:vAlign w:val="center"/>
            <w:hideMark/>
          </w:tcPr>
          <w:p w:rsidR="00B14744" w:rsidRPr="008F6FAE" w:rsidRDefault="00B14744" w:rsidP="00512EF2">
            <w:pPr>
              <w:jc w:val="center"/>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AYUNTAMIENTO DE TIJUANA</w:t>
            </w:r>
          </w:p>
        </w:tc>
        <w:tc>
          <w:tcPr>
            <w:tcW w:w="3277" w:type="dxa"/>
            <w:vAlign w:val="center"/>
            <w:hideMark/>
          </w:tcPr>
          <w:p w:rsidR="00B14744" w:rsidRPr="008F6FAE" w:rsidRDefault="00B14744" w:rsidP="00512EF2">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PARTICIPACIÓN SOBRE IMPUESTO ISR</w:t>
            </w:r>
          </w:p>
        </w:tc>
        <w:tc>
          <w:tcPr>
            <w:tcW w:w="2180" w:type="dxa"/>
            <w:vAlign w:val="center"/>
          </w:tcPr>
          <w:p w:rsidR="00B14744" w:rsidRPr="008F6FAE" w:rsidRDefault="00B14744" w:rsidP="00B1474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100%</w:t>
            </w:r>
          </w:p>
        </w:tc>
      </w:tr>
      <w:tr w:rsidR="00B14744" w:rsidRPr="00B14744" w:rsidTr="009C3C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14" w:type="dxa"/>
            <w:vAlign w:val="center"/>
            <w:hideMark/>
          </w:tcPr>
          <w:p w:rsidR="00B14744" w:rsidRPr="008F6FAE" w:rsidRDefault="00B14744" w:rsidP="00512EF2">
            <w:pPr>
              <w:jc w:val="center"/>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AYUNTAMIENTO DE ENSENADA</w:t>
            </w:r>
          </w:p>
        </w:tc>
        <w:tc>
          <w:tcPr>
            <w:tcW w:w="3277" w:type="dxa"/>
            <w:vAlign w:val="center"/>
            <w:hideMark/>
          </w:tcPr>
          <w:p w:rsidR="00B14744" w:rsidRPr="008F6FAE" w:rsidRDefault="00B14744"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PARTICIPACIÓN SOBRE IMPUESTO ISR</w:t>
            </w:r>
          </w:p>
        </w:tc>
        <w:tc>
          <w:tcPr>
            <w:tcW w:w="2180" w:type="dxa"/>
            <w:vAlign w:val="center"/>
          </w:tcPr>
          <w:p w:rsidR="00B14744" w:rsidRPr="008F6FAE" w:rsidRDefault="00B14744" w:rsidP="00B1474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100%</w:t>
            </w:r>
          </w:p>
        </w:tc>
      </w:tr>
      <w:tr w:rsidR="00B14744" w:rsidRPr="00B14744" w:rsidTr="009C3CC4">
        <w:trPr>
          <w:trHeight w:val="680"/>
        </w:trPr>
        <w:tc>
          <w:tcPr>
            <w:cnfStyle w:val="001000000000" w:firstRow="0" w:lastRow="0" w:firstColumn="1" w:lastColumn="0" w:oddVBand="0" w:evenVBand="0" w:oddHBand="0" w:evenHBand="0" w:firstRowFirstColumn="0" w:firstRowLastColumn="0" w:lastRowFirstColumn="0" w:lastRowLastColumn="0"/>
            <w:tcW w:w="3414" w:type="dxa"/>
            <w:vAlign w:val="center"/>
            <w:hideMark/>
          </w:tcPr>
          <w:p w:rsidR="00B14744" w:rsidRPr="008F6FAE" w:rsidRDefault="00B14744" w:rsidP="00512EF2">
            <w:pPr>
              <w:jc w:val="center"/>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AYUNTAMIENTO DE PLAYAS DE ROSARITO</w:t>
            </w:r>
          </w:p>
        </w:tc>
        <w:tc>
          <w:tcPr>
            <w:tcW w:w="3277" w:type="dxa"/>
            <w:vAlign w:val="center"/>
            <w:hideMark/>
          </w:tcPr>
          <w:p w:rsidR="00B14744" w:rsidRPr="008F6FAE" w:rsidRDefault="00B14744" w:rsidP="00512EF2">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PARTICIPACIÓN SOBRE IMPUESTO ISR</w:t>
            </w:r>
          </w:p>
        </w:tc>
        <w:tc>
          <w:tcPr>
            <w:tcW w:w="2180" w:type="dxa"/>
            <w:vAlign w:val="center"/>
          </w:tcPr>
          <w:p w:rsidR="00B14744" w:rsidRPr="008F6FAE" w:rsidRDefault="00B14744" w:rsidP="00B1474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Cs w:val="24"/>
                <w:lang w:eastAsia="es-MX"/>
              </w:rPr>
            </w:pPr>
            <w:r w:rsidRPr="008F6FAE">
              <w:rPr>
                <w:rFonts w:ascii="Tahoma" w:eastAsia="Times New Roman" w:hAnsi="Tahoma" w:cs="Tahoma"/>
                <w:color w:val="000000"/>
                <w:szCs w:val="24"/>
                <w:lang w:eastAsia="es-MX"/>
              </w:rPr>
              <w:t>100%</w:t>
            </w:r>
          </w:p>
        </w:tc>
      </w:tr>
    </w:tbl>
    <w:p w:rsidR="00C44909" w:rsidRDefault="008F6FAE" w:rsidP="008F6FAE">
      <w:pPr>
        <w:spacing w:after="0" w:line="240" w:lineRule="auto"/>
        <w:jc w:val="both"/>
        <w:rPr>
          <w:rFonts w:ascii="Tahoma" w:hAnsi="Tahoma" w:cs="Tahoma"/>
          <w:sz w:val="20"/>
        </w:rPr>
      </w:pPr>
      <w:r>
        <w:rPr>
          <w:rFonts w:ascii="Tahoma" w:hAnsi="Tahoma" w:cs="Tahoma"/>
          <w:sz w:val="20"/>
        </w:rPr>
        <w:t xml:space="preserve">Fuente: </w:t>
      </w:r>
      <w:r w:rsidR="00DD53BA" w:rsidRPr="00252C0F">
        <w:rPr>
          <w:rFonts w:ascii="Tahoma" w:hAnsi="Tahoma" w:cs="Tahoma"/>
          <w:sz w:val="20"/>
          <w:szCs w:val="20"/>
        </w:rPr>
        <w:t xml:space="preserve">Elaboración propia con información de: </w:t>
      </w:r>
      <w:r>
        <w:rPr>
          <w:rFonts w:ascii="Tahoma" w:hAnsi="Tahoma" w:cs="Tahoma"/>
          <w:sz w:val="20"/>
        </w:rPr>
        <w:t>Programa Operativo Anual, Ramo 07, Secretaría de Planeación y Finanzas del Gobierno del Estado de Baja California, al Cierre del ejercicio 2017.</w:t>
      </w:r>
    </w:p>
    <w:p w:rsidR="008F6FAE" w:rsidRDefault="008F6FAE" w:rsidP="008F6FAE">
      <w:pPr>
        <w:spacing w:after="0" w:line="240" w:lineRule="auto"/>
        <w:jc w:val="both"/>
        <w:rPr>
          <w:rFonts w:ascii="Tahoma" w:hAnsi="Tahoma" w:cs="Tahoma"/>
          <w:sz w:val="20"/>
        </w:rPr>
      </w:pPr>
    </w:p>
    <w:p w:rsidR="008F6FAE" w:rsidRDefault="008F6FAE" w:rsidP="008F6FAE">
      <w:pPr>
        <w:spacing w:after="0" w:line="240" w:lineRule="auto"/>
        <w:jc w:val="both"/>
        <w:rPr>
          <w:rFonts w:ascii="Tahoma" w:hAnsi="Tahoma" w:cs="Tahoma"/>
          <w:sz w:val="24"/>
          <w:szCs w:val="24"/>
        </w:rPr>
      </w:pPr>
    </w:p>
    <w:p w:rsidR="00B14744" w:rsidRDefault="00811288" w:rsidP="00C44909">
      <w:pPr>
        <w:spacing w:after="480" w:line="480" w:lineRule="auto"/>
        <w:jc w:val="both"/>
        <w:rPr>
          <w:rFonts w:ascii="Tahoma" w:hAnsi="Tahoma" w:cs="Tahoma"/>
          <w:sz w:val="24"/>
          <w:szCs w:val="24"/>
        </w:rPr>
      </w:pPr>
      <w:r>
        <w:rPr>
          <w:rFonts w:ascii="Tahoma" w:hAnsi="Tahoma" w:cs="Tahoma"/>
          <w:sz w:val="24"/>
          <w:szCs w:val="24"/>
        </w:rPr>
        <w:t xml:space="preserve">En términos reales, de acuerdo a la siguiente gráfica, </w:t>
      </w:r>
      <w:r w:rsidRPr="00C44909">
        <w:rPr>
          <w:rFonts w:ascii="Tahoma" w:hAnsi="Tahoma" w:cs="Tahoma"/>
          <w:b/>
          <w:color w:val="943634" w:themeColor="accent2" w:themeShade="BF"/>
          <w:sz w:val="28"/>
          <w:szCs w:val="24"/>
        </w:rPr>
        <w:t>las Participaciones transferidas al Estado de Baja California,</w:t>
      </w:r>
      <w:r>
        <w:rPr>
          <w:rFonts w:ascii="Tahoma" w:hAnsi="Tahoma" w:cs="Tahoma"/>
          <w:sz w:val="24"/>
          <w:szCs w:val="24"/>
        </w:rPr>
        <w:t xml:space="preserve"> presentan una evidente tasa de crecimiento, a la fecha los recursos por este concepto representan alrededor del </w:t>
      </w:r>
      <w:r w:rsidRPr="00C44909">
        <w:rPr>
          <w:rFonts w:ascii="Tahoma" w:hAnsi="Tahoma" w:cs="Tahoma"/>
          <w:b/>
          <w:color w:val="943634" w:themeColor="accent2" w:themeShade="BF"/>
          <w:sz w:val="28"/>
          <w:szCs w:val="24"/>
        </w:rPr>
        <w:t>40% del total de los Ingresos Presupuestarios de la Entidad.</w:t>
      </w:r>
    </w:p>
    <w:p w:rsidR="008F6FAE" w:rsidRDefault="005B4837" w:rsidP="008F6FAE">
      <w:pPr>
        <w:spacing w:after="0" w:line="240" w:lineRule="auto"/>
        <w:jc w:val="both"/>
        <w:rPr>
          <w:rFonts w:ascii="Tahoma" w:hAnsi="Tahoma" w:cs="Tahoma"/>
          <w:sz w:val="24"/>
          <w:szCs w:val="24"/>
        </w:rPr>
      </w:pPr>
      <w:r>
        <w:rPr>
          <w:noProof/>
          <w:lang w:val="en-US"/>
        </w:rPr>
        <w:drawing>
          <wp:inline distT="0" distB="0" distL="0" distR="0" wp14:anchorId="74784100" wp14:editId="151352C7">
            <wp:extent cx="5581650" cy="2790701"/>
            <wp:effectExtent l="0" t="0" r="0" b="1016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F6FAE" w:rsidRPr="008F6FAE">
        <w:rPr>
          <w:rFonts w:ascii="Tahoma" w:hAnsi="Tahoma" w:cs="Tahoma"/>
          <w:sz w:val="20"/>
        </w:rPr>
        <w:t xml:space="preserve"> </w:t>
      </w:r>
      <w:r w:rsidR="008F6FAE">
        <w:rPr>
          <w:rFonts w:ascii="Tahoma" w:hAnsi="Tahoma" w:cs="Tahoma"/>
          <w:sz w:val="20"/>
        </w:rPr>
        <w:t>Fuente: Elaboración propia, con información de: Transparencia Fiscal, Secretaría de Planeación y Finanzas del Gobierno del Estado de Baja California, 2010-2017.</w:t>
      </w:r>
    </w:p>
    <w:p w:rsidR="00811288" w:rsidRDefault="00811288" w:rsidP="00B14744">
      <w:pPr>
        <w:spacing w:after="480" w:line="480" w:lineRule="auto"/>
        <w:jc w:val="both"/>
        <w:rPr>
          <w:rFonts w:ascii="Tahoma" w:hAnsi="Tahoma" w:cs="Tahoma"/>
          <w:sz w:val="24"/>
          <w:szCs w:val="24"/>
        </w:rPr>
      </w:pPr>
    </w:p>
    <w:p w:rsidR="003D5285" w:rsidRPr="005B4837" w:rsidRDefault="005B4837" w:rsidP="005B4837">
      <w:pPr>
        <w:spacing w:after="480" w:line="480" w:lineRule="auto"/>
        <w:jc w:val="both"/>
        <w:rPr>
          <w:rFonts w:asciiTheme="majorHAnsi" w:eastAsiaTheme="majorEastAsia" w:hAnsiTheme="majorHAnsi" w:cstheme="majorBidi"/>
          <w:b/>
          <w:bCs/>
          <w:color w:val="943634" w:themeColor="accent2" w:themeShade="BF"/>
          <w:sz w:val="26"/>
          <w:szCs w:val="26"/>
          <w:lang w:val="es-ES" w:eastAsia="es-MX"/>
        </w:rPr>
      </w:pPr>
      <w:r w:rsidRPr="005B4837">
        <w:rPr>
          <w:rFonts w:asciiTheme="majorHAnsi" w:eastAsiaTheme="majorEastAsia" w:hAnsiTheme="majorHAnsi" w:cstheme="majorBidi"/>
          <w:b/>
          <w:bCs/>
          <w:color w:val="943634" w:themeColor="accent2" w:themeShade="BF"/>
          <w:sz w:val="26"/>
          <w:szCs w:val="26"/>
          <w:lang w:val="es-ES" w:eastAsia="es-MX"/>
        </w:rPr>
        <w:t>Análisis del cumplimiento presupuestal</w:t>
      </w:r>
    </w:p>
    <w:p w:rsidR="00D92862" w:rsidRPr="005B4837" w:rsidRDefault="00D92862" w:rsidP="005B4837">
      <w:pPr>
        <w:spacing w:after="480" w:line="480" w:lineRule="auto"/>
        <w:jc w:val="both"/>
        <w:rPr>
          <w:rFonts w:ascii="Tahoma" w:hAnsi="Tahoma" w:cs="Tahoma"/>
          <w:sz w:val="24"/>
          <w:szCs w:val="24"/>
        </w:rPr>
      </w:pPr>
      <w:r w:rsidRPr="005B4837">
        <w:rPr>
          <w:rFonts w:ascii="Tahoma" w:hAnsi="Tahoma" w:cs="Tahoma"/>
          <w:sz w:val="24"/>
          <w:szCs w:val="24"/>
        </w:rPr>
        <w:t>A nivel nacional, para el ejercicio fiscal 2017, se estimó una previsión para el Ramo General 28 de $ 742,566´220,934 de pesos, cifra 5.4 por ciento superior en términos reales con respecto al presupuesto aprobado en 2016.</w:t>
      </w:r>
    </w:p>
    <w:p w:rsidR="00D92862" w:rsidRPr="005B4837" w:rsidRDefault="00D92862" w:rsidP="005B4837">
      <w:pPr>
        <w:spacing w:after="480" w:line="480" w:lineRule="auto"/>
        <w:jc w:val="both"/>
        <w:rPr>
          <w:rFonts w:ascii="Tahoma" w:hAnsi="Tahoma" w:cs="Tahoma"/>
          <w:sz w:val="24"/>
          <w:szCs w:val="24"/>
        </w:rPr>
      </w:pPr>
      <w:r w:rsidRPr="005B4837">
        <w:rPr>
          <w:rFonts w:ascii="Tahoma" w:hAnsi="Tahoma" w:cs="Tahoma"/>
          <w:sz w:val="24"/>
          <w:szCs w:val="24"/>
        </w:rPr>
        <w:t xml:space="preserve">De los cuales </w:t>
      </w:r>
      <w:r w:rsidRPr="005B4837">
        <w:rPr>
          <w:rFonts w:ascii="Tahoma" w:hAnsi="Tahoma" w:cs="Tahoma"/>
          <w:b/>
          <w:color w:val="943634" w:themeColor="accent2" w:themeShade="BF"/>
          <w:sz w:val="32"/>
          <w:szCs w:val="24"/>
        </w:rPr>
        <w:t>$21,061´497,319</w:t>
      </w:r>
      <w:r w:rsidRPr="005B4837">
        <w:rPr>
          <w:rFonts w:ascii="Tahoma" w:hAnsi="Tahoma" w:cs="Tahoma"/>
          <w:color w:val="943634" w:themeColor="accent2" w:themeShade="BF"/>
          <w:sz w:val="32"/>
          <w:szCs w:val="24"/>
        </w:rPr>
        <w:t xml:space="preserve"> </w:t>
      </w:r>
      <w:r w:rsidRPr="005B4837">
        <w:rPr>
          <w:rFonts w:ascii="Tahoma" w:hAnsi="Tahoma" w:cs="Tahoma"/>
          <w:sz w:val="24"/>
          <w:szCs w:val="24"/>
        </w:rPr>
        <w:t>se aprobaron para el Estado de B</w:t>
      </w:r>
      <w:r w:rsidR="00301C3E" w:rsidRPr="005B4837">
        <w:rPr>
          <w:rFonts w:ascii="Tahoma" w:hAnsi="Tahoma" w:cs="Tahoma"/>
          <w:sz w:val="24"/>
          <w:szCs w:val="24"/>
        </w:rPr>
        <w:t>a</w:t>
      </w:r>
      <w:r w:rsidRPr="005B4837">
        <w:rPr>
          <w:rFonts w:ascii="Tahoma" w:hAnsi="Tahoma" w:cs="Tahoma"/>
          <w:sz w:val="24"/>
          <w:szCs w:val="24"/>
        </w:rPr>
        <w:t xml:space="preserve">ja California, equivalente al </w:t>
      </w:r>
      <w:r w:rsidRPr="005B4837">
        <w:rPr>
          <w:rFonts w:ascii="Tahoma" w:hAnsi="Tahoma" w:cs="Tahoma"/>
          <w:b/>
          <w:color w:val="943634" w:themeColor="accent2" w:themeShade="BF"/>
          <w:sz w:val="32"/>
          <w:szCs w:val="24"/>
        </w:rPr>
        <w:t>5.14% del total Nacional</w:t>
      </w:r>
      <w:r w:rsidR="005B4837" w:rsidRPr="005B4837">
        <w:rPr>
          <w:rFonts w:ascii="Tahoma" w:hAnsi="Tahoma" w:cs="Tahoma"/>
          <w:sz w:val="24"/>
          <w:szCs w:val="24"/>
        </w:rPr>
        <w:t>.</w:t>
      </w:r>
    </w:p>
    <w:tbl>
      <w:tblPr>
        <w:tblStyle w:val="MediumShading1-Accent2"/>
        <w:tblW w:w="8818" w:type="dxa"/>
        <w:tblLook w:val="04A0" w:firstRow="1" w:lastRow="0" w:firstColumn="1" w:lastColumn="0" w:noHBand="0" w:noVBand="1"/>
      </w:tblPr>
      <w:tblGrid>
        <w:gridCol w:w="1812"/>
        <w:gridCol w:w="1438"/>
        <w:gridCol w:w="1856"/>
        <w:gridCol w:w="1856"/>
        <w:gridCol w:w="1856"/>
      </w:tblGrid>
      <w:tr w:rsidR="00C23B96" w:rsidRPr="00512EF2" w:rsidTr="00512EF2">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12" w:type="dxa"/>
            <w:noWrap/>
            <w:hideMark/>
          </w:tcPr>
          <w:p w:rsidR="00495DC8" w:rsidRPr="00512EF2" w:rsidRDefault="00495DC8" w:rsidP="00512EF2">
            <w:pPr>
              <w:jc w:val="center"/>
              <w:rPr>
                <w:rFonts w:ascii="Tahoma" w:eastAsia="Times New Roman" w:hAnsi="Tahoma" w:cs="Tahoma"/>
                <w:sz w:val="18"/>
                <w:szCs w:val="20"/>
                <w:lang w:eastAsia="es-MX"/>
              </w:rPr>
            </w:pPr>
            <w:r w:rsidRPr="00512EF2">
              <w:rPr>
                <w:rFonts w:ascii="Tahoma" w:eastAsia="Times New Roman" w:hAnsi="Tahoma" w:cs="Tahoma"/>
                <w:sz w:val="18"/>
                <w:szCs w:val="20"/>
                <w:lang w:eastAsia="es-MX"/>
              </w:rPr>
              <w:t>PARTIDA GENERICA</w:t>
            </w:r>
          </w:p>
        </w:tc>
        <w:tc>
          <w:tcPr>
            <w:tcW w:w="1438" w:type="dxa"/>
            <w:noWrap/>
            <w:vAlign w:val="center"/>
            <w:hideMark/>
          </w:tcPr>
          <w:p w:rsidR="00495DC8" w:rsidRPr="00512EF2" w:rsidRDefault="00495DC8" w:rsidP="00512EF2">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20"/>
                <w:lang w:eastAsia="es-MX"/>
              </w:rPr>
            </w:pPr>
            <w:r w:rsidRPr="00512EF2">
              <w:rPr>
                <w:rFonts w:ascii="Tahoma" w:eastAsia="Times New Roman" w:hAnsi="Tahoma" w:cs="Tahoma"/>
                <w:sz w:val="18"/>
                <w:szCs w:val="20"/>
                <w:lang w:eastAsia="es-MX"/>
              </w:rPr>
              <w:t>PARTIDA ESPECIFICA</w:t>
            </w:r>
          </w:p>
        </w:tc>
        <w:tc>
          <w:tcPr>
            <w:tcW w:w="1856" w:type="dxa"/>
            <w:noWrap/>
            <w:vAlign w:val="center"/>
            <w:hideMark/>
          </w:tcPr>
          <w:p w:rsidR="00495DC8" w:rsidRPr="00512EF2" w:rsidRDefault="00495DC8" w:rsidP="00512EF2">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20"/>
                <w:lang w:eastAsia="es-MX"/>
              </w:rPr>
            </w:pPr>
            <w:r w:rsidRPr="00512EF2">
              <w:rPr>
                <w:rFonts w:ascii="Tahoma" w:eastAsia="Times New Roman" w:hAnsi="Tahoma" w:cs="Tahoma"/>
                <w:sz w:val="18"/>
                <w:szCs w:val="20"/>
                <w:lang w:eastAsia="es-MX"/>
              </w:rPr>
              <w:t>MONTO APROBADO</w:t>
            </w:r>
          </w:p>
        </w:tc>
        <w:tc>
          <w:tcPr>
            <w:tcW w:w="1856" w:type="dxa"/>
            <w:noWrap/>
            <w:vAlign w:val="center"/>
            <w:hideMark/>
          </w:tcPr>
          <w:p w:rsidR="00495DC8" w:rsidRPr="00512EF2" w:rsidRDefault="00495DC8" w:rsidP="00512EF2">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20"/>
                <w:lang w:eastAsia="es-MX"/>
              </w:rPr>
            </w:pPr>
            <w:r w:rsidRPr="00512EF2">
              <w:rPr>
                <w:rFonts w:ascii="Tahoma" w:eastAsia="Times New Roman" w:hAnsi="Tahoma" w:cs="Tahoma"/>
                <w:sz w:val="18"/>
                <w:szCs w:val="20"/>
                <w:lang w:eastAsia="es-MX"/>
              </w:rPr>
              <w:t>MONTO MODIFICADO</w:t>
            </w:r>
          </w:p>
        </w:tc>
        <w:tc>
          <w:tcPr>
            <w:tcW w:w="1856" w:type="dxa"/>
            <w:noWrap/>
            <w:vAlign w:val="center"/>
            <w:hideMark/>
          </w:tcPr>
          <w:p w:rsidR="00495DC8" w:rsidRPr="00512EF2" w:rsidRDefault="00495DC8" w:rsidP="00512EF2">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20"/>
                <w:lang w:eastAsia="es-MX"/>
              </w:rPr>
            </w:pPr>
            <w:r w:rsidRPr="00512EF2">
              <w:rPr>
                <w:rFonts w:ascii="Tahoma" w:eastAsia="Times New Roman" w:hAnsi="Tahoma" w:cs="Tahoma"/>
                <w:sz w:val="18"/>
                <w:szCs w:val="20"/>
                <w:lang w:eastAsia="es-MX"/>
              </w:rPr>
              <w:t>MONTO PAGADO</w:t>
            </w:r>
          </w:p>
        </w:tc>
      </w:tr>
      <w:tr w:rsidR="00C23B96" w:rsidRPr="00512EF2" w:rsidTr="00512EF2">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812" w:type="dxa"/>
            <w:noWrap/>
            <w:vAlign w:val="center"/>
            <w:hideMark/>
          </w:tcPr>
          <w:p w:rsidR="00495DC8" w:rsidRPr="00512EF2" w:rsidRDefault="00495DC8" w:rsidP="00512EF2">
            <w:pPr>
              <w:rPr>
                <w:rFonts w:ascii="Tahoma" w:eastAsia="Times New Roman" w:hAnsi="Tahoma" w:cs="Tahoma"/>
                <w:color w:val="943634" w:themeColor="accent2" w:themeShade="BF"/>
                <w:sz w:val="18"/>
                <w:szCs w:val="20"/>
                <w:lang w:eastAsia="es-MX"/>
              </w:rPr>
            </w:pPr>
            <w:r w:rsidRPr="00512EF2">
              <w:rPr>
                <w:rFonts w:ascii="Tahoma" w:eastAsia="Times New Roman" w:hAnsi="Tahoma" w:cs="Tahoma"/>
                <w:color w:val="943634" w:themeColor="accent2" w:themeShade="BF"/>
                <w:sz w:val="18"/>
                <w:szCs w:val="20"/>
                <w:lang w:eastAsia="es-MX"/>
              </w:rPr>
              <w:t>Fondo general de participaciones</w:t>
            </w:r>
          </w:p>
        </w:tc>
        <w:tc>
          <w:tcPr>
            <w:tcW w:w="1438" w:type="dxa"/>
            <w:noWrap/>
            <w:vAlign w:val="center"/>
            <w:hideMark/>
          </w:tcPr>
          <w:p w:rsidR="00495DC8" w:rsidRPr="00512EF2" w:rsidRDefault="00495DC8"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81101</w:t>
            </w:r>
          </w:p>
        </w:tc>
        <w:tc>
          <w:tcPr>
            <w:tcW w:w="1856" w:type="dxa"/>
            <w:noWrap/>
            <w:vAlign w:val="center"/>
            <w:hideMark/>
          </w:tcPr>
          <w:p w:rsidR="00495DC8" w:rsidRPr="00512EF2" w:rsidRDefault="00495DC8"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15,441´041,666</w:t>
            </w:r>
          </w:p>
        </w:tc>
        <w:tc>
          <w:tcPr>
            <w:tcW w:w="1856" w:type="dxa"/>
            <w:noWrap/>
            <w:vAlign w:val="center"/>
            <w:hideMark/>
          </w:tcPr>
          <w:p w:rsidR="00495DC8" w:rsidRPr="00512EF2" w:rsidRDefault="00495DC8"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16,754´921,732</w:t>
            </w:r>
          </w:p>
        </w:tc>
        <w:tc>
          <w:tcPr>
            <w:tcW w:w="1856" w:type="dxa"/>
            <w:noWrap/>
            <w:vAlign w:val="center"/>
            <w:hideMark/>
          </w:tcPr>
          <w:p w:rsidR="00495DC8" w:rsidRPr="00512EF2" w:rsidRDefault="00495DC8"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16,754´959,891</w:t>
            </w:r>
          </w:p>
        </w:tc>
      </w:tr>
      <w:tr w:rsidR="00C23B96" w:rsidRPr="00512EF2" w:rsidTr="00512EF2">
        <w:trPr>
          <w:cnfStyle w:val="000000010000" w:firstRow="0" w:lastRow="0" w:firstColumn="0" w:lastColumn="0" w:oddVBand="0" w:evenVBand="0" w:oddHBand="0" w:evenHBand="1"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2" w:type="dxa"/>
            <w:noWrap/>
            <w:vAlign w:val="center"/>
            <w:hideMark/>
          </w:tcPr>
          <w:p w:rsidR="00495DC8" w:rsidRPr="00512EF2" w:rsidRDefault="00495DC8" w:rsidP="00512EF2">
            <w:pPr>
              <w:rPr>
                <w:rFonts w:ascii="Tahoma" w:eastAsia="Times New Roman" w:hAnsi="Tahoma" w:cs="Tahoma"/>
                <w:color w:val="943634" w:themeColor="accent2" w:themeShade="BF"/>
                <w:sz w:val="18"/>
                <w:szCs w:val="20"/>
                <w:lang w:eastAsia="es-MX"/>
              </w:rPr>
            </w:pPr>
            <w:r w:rsidRPr="00512EF2">
              <w:rPr>
                <w:rFonts w:ascii="Tahoma" w:eastAsia="Times New Roman" w:hAnsi="Tahoma" w:cs="Tahoma"/>
                <w:color w:val="943634" w:themeColor="accent2" w:themeShade="BF"/>
                <w:sz w:val="18"/>
                <w:szCs w:val="20"/>
                <w:lang w:eastAsia="es-MX"/>
              </w:rPr>
              <w:t>Fondo de fomento municipal</w:t>
            </w:r>
          </w:p>
        </w:tc>
        <w:tc>
          <w:tcPr>
            <w:tcW w:w="1438" w:type="dxa"/>
            <w:noWrap/>
            <w:vAlign w:val="center"/>
            <w:hideMark/>
          </w:tcPr>
          <w:p w:rsidR="00495DC8" w:rsidRPr="00512EF2" w:rsidRDefault="00495DC8" w:rsidP="00512EF2">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81201</w:t>
            </w:r>
          </w:p>
        </w:tc>
        <w:tc>
          <w:tcPr>
            <w:tcW w:w="1856" w:type="dxa"/>
            <w:noWrap/>
            <w:vAlign w:val="center"/>
            <w:hideMark/>
          </w:tcPr>
          <w:p w:rsidR="00495DC8" w:rsidRPr="00512EF2" w:rsidRDefault="00495DC8" w:rsidP="00512EF2">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465´763,649</w:t>
            </w:r>
          </w:p>
        </w:tc>
        <w:tc>
          <w:tcPr>
            <w:tcW w:w="1856" w:type="dxa"/>
            <w:noWrap/>
            <w:vAlign w:val="center"/>
            <w:hideMark/>
          </w:tcPr>
          <w:p w:rsidR="00495DC8" w:rsidRPr="00512EF2" w:rsidRDefault="00495DC8" w:rsidP="00512EF2">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489</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507</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397</w:t>
            </w:r>
          </w:p>
        </w:tc>
        <w:tc>
          <w:tcPr>
            <w:tcW w:w="1856" w:type="dxa"/>
            <w:noWrap/>
            <w:vAlign w:val="center"/>
            <w:hideMark/>
          </w:tcPr>
          <w:p w:rsidR="00495DC8" w:rsidRPr="00512EF2" w:rsidRDefault="00495DC8" w:rsidP="00512EF2">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489</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507</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397</w:t>
            </w:r>
          </w:p>
        </w:tc>
      </w:tr>
      <w:tr w:rsidR="00C23B96" w:rsidRPr="00512EF2" w:rsidTr="00512EF2">
        <w:trPr>
          <w:cnfStyle w:val="000000100000" w:firstRow="0" w:lastRow="0" w:firstColumn="0" w:lastColumn="0" w:oddVBand="0" w:evenVBand="0" w:oddHBand="1"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1812" w:type="dxa"/>
            <w:noWrap/>
            <w:vAlign w:val="center"/>
            <w:hideMark/>
          </w:tcPr>
          <w:p w:rsidR="00495DC8" w:rsidRPr="00512EF2" w:rsidRDefault="00495DC8" w:rsidP="00512EF2">
            <w:pPr>
              <w:rPr>
                <w:rFonts w:ascii="Tahoma" w:eastAsia="Times New Roman" w:hAnsi="Tahoma" w:cs="Tahoma"/>
                <w:color w:val="943634" w:themeColor="accent2" w:themeShade="BF"/>
                <w:sz w:val="18"/>
                <w:szCs w:val="20"/>
                <w:lang w:eastAsia="es-MX"/>
              </w:rPr>
            </w:pPr>
            <w:r w:rsidRPr="00512EF2">
              <w:rPr>
                <w:rFonts w:ascii="Tahoma" w:eastAsia="Times New Roman" w:hAnsi="Tahoma" w:cs="Tahoma"/>
                <w:color w:val="943634" w:themeColor="accent2" w:themeShade="BF"/>
                <w:sz w:val="18"/>
                <w:szCs w:val="20"/>
                <w:lang w:eastAsia="es-MX"/>
              </w:rPr>
              <w:t>Otros conceptos participables de la Federación a entidades federativas</w:t>
            </w:r>
          </w:p>
        </w:tc>
        <w:tc>
          <w:tcPr>
            <w:tcW w:w="1438" w:type="dxa"/>
            <w:noWrap/>
            <w:vAlign w:val="center"/>
            <w:hideMark/>
          </w:tcPr>
          <w:p w:rsidR="00495DC8" w:rsidRPr="00512EF2" w:rsidRDefault="00495DC8"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81401</w:t>
            </w:r>
          </w:p>
        </w:tc>
        <w:tc>
          <w:tcPr>
            <w:tcW w:w="1856" w:type="dxa"/>
            <w:noWrap/>
            <w:vAlign w:val="center"/>
            <w:hideMark/>
          </w:tcPr>
          <w:p w:rsidR="00495DC8" w:rsidRPr="00512EF2" w:rsidRDefault="00495DC8"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5,096´797,320</w:t>
            </w:r>
          </w:p>
        </w:tc>
        <w:tc>
          <w:tcPr>
            <w:tcW w:w="1856" w:type="dxa"/>
            <w:noWrap/>
            <w:vAlign w:val="center"/>
            <w:hideMark/>
          </w:tcPr>
          <w:p w:rsidR="00495DC8" w:rsidRPr="00512EF2" w:rsidRDefault="00495DC8"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5</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521</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797</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320</w:t>
            </w:r>
          </w:p>
        </w:tc>
        <w:tc>
          <w:tcPr>
            <w:tcW w:w="1856" w:type="dxa"/>
            <w:noWrap/>
            <w:vAlign w:val="center"/>
            <w:hideMark/>
          </w:tcPr>
          <w:p w:rsidR="00495DC8" w:rsidRPr="00512EF2" w:rsidRDefault="00495DC8" w:rsidP="00512EF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5</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581</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547</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196</w:t>
            </w:r>
          </w:p>
        </w:tc>
      </w:tr>
      <w:tr w:rsidR="00C23B96" w:rsidRPr="00512EF2" w:rsidTr="00512EF2">
        <w:trPr>
          <w:cnfStyle w:val="000000010000" w:firstRow="0" w:lastRow="0" w:firstColumn="0" w:lastColumn="0" w:oddVBand="0" w:evenVBand="0" w:oddHBand="0" w:evenHBand="1"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1812" w:type="dxa"/>
            <w:noWrap/>
            <w:vAlign w:val="center"/>
            <w:hideMark/>
          </w:tcPr>
          <w:p w:rsidR="00495DC8" w:rsidRPr="00512EF2" w:rsidRDefault="00495DC8" w:rsidP="00512EF2">
            <w:pPr>
              <w:rPr>
                <w:rFonts w:ascii="Tahoma" w:eastAsia="Times New Roman" w:hAnsi="Tahoma" w:cs="Tahoma"/>
                <w:color w:val="943634" w:themeColor="accent2" w:themeShade="BF"/>
                <w:sz w:val="18"/>
                <w:szCs w:val="20"/>
                <w:lang w:eastAsia="es-MX"/>
              </w:rPr>
            </w:pPr>
            <w:r w:rsidRPr="00512EF2">
              <w:rPr>
                <w:rFonts w:ascii="Tahoma" w:eastAsia="Times New Roman" w:hAnsi="Tahoma" w:cs="Tahoma"/>
                <w:color w:val="943634" w:themeColor="accent2" w:themeShade="BF"/>
                <w:sz w:val="18"/>
                <w:szCs w:val="20"/>
                <w:lang w:eastAsia="es-MX"/>
              </w:rPr>
              <w:t>Aportaciones previstas en leyes y decretos compensatorias a entidades federativas y municipios</w:t>
            </w:r>
          </w:p>
        </w:tc>
        <w:tc>
          <w:tcPr>
            <w:tcW w:w="1438" w:type="dxa"/>
            <w:noWrap/>
            <w:vAlign w:val="center"/>
            <w:hideMark/>
          </w:tcPr>
          <w:p w:rsidR="00495DC8" w:rsidRPr="00512EF2" w:rsidRDefault="00495DC8" w:rsidP="00512EF2">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83501</w:t>
            </w:r>
          </w:p>
        </w:tc>
        <w:tc>
          <w:tcPr>
            <w:tcW w:w="1856" w:type="dxa"/>
            <w:noWrap/>
            <w:vAlign w:val="center"/>
            <w:hideMark/>
          </w:tcPr>
          <w:p w:rsidR="00495DC8" w:rsidRPr="00512EF2" w:rsidRDefault="00495DC8" w:rsidP="00512EF2">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57´894,684</w:t>
            </w:r>
          </w:p>
        </w:tc>
        <w:tc>
          <w:tcPr>
            <w:tcW w:w="1856" w:type="dxa"/>
            <w:noWrap/>
            <w:vAlign w:val="center"/>
            <w:hideMark/>
          </w:tcPr>
          <w:p w:rsidR="00495DC8" w:rsidRPr="00512EF2" w:rsidRDefault="00495DC8" w:rsidP="00512EF2">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57</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894</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684</w:t>
            </w:r>
          </w:p>
        </w:tc>
        <w:tc>
          <w:tcPr>
            <w:tcW w:w="1856" w:type="dxa"/>
            <w:noWrap/>
            <w:vAlign w:val="center"/>
            <w:hideMark/>
          </w:tcPr>
          <w:p w:rsidR="00495DC8" w:rsidRPr="00512EF2" w:rsidRDefault="00495DC8" w:rsidP="00512EF2">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color w:val="943634" w:themeColor="accent2" w:themeShade="BF"/>
                <w:sz w:val="18"/>
                <w:szCs w:val="20"/>
                <w:lang w:eastAsia="es-MX"/>
              </w:rPr>
            </w:pPr>
            <w:r w:rsidRPr="00512EF2">
              <w:rPr>
                <w:rFonts w:ascii="Tahoma" w:eastAsia="Times New Roman" w:hAnsi="Tahoma" w:cs="Tahoma"/>
                <w:b/>
                <w:color w:val="943634" w:themeColor="accent2" w:themeShade="BF"/>
                <w:sz w:val="18"/>
                <w:szCs w:val="20"/>
                <w:lang w:eastAsia="es-MX"/>
              </w:rPr>
              <w:t>57</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894</w:t>
            </w:r>
            <w:r w:rsidR="00C23B96" w:rsidRPr="00512EF2">
              <w:rPr>
                <w:rFonts w:ascii="Tahoma" w:eastAsia="Times New Roman" w:hAnsi="Tahoma" w:cs="Tahoma"/>
                <w:b/>
                <w:color w:val="943634" w:themeColor="accent2" w:themeShade="BF"/>
                <w:sz w:val="18"/>
                <w:szCs w:val="20"/>
                <w:lang w:eastAsia="es-MX"/>
              </w:rPr>
              <w:t>,</w:t>
            </w:r>
            <w:r w:rsidRPr="00512EF2">
              <w:rPr>
                <w:rFonts w:ascii="Tahoma" w:eastAsia="Times New Roman" w:hAnsi="Tahoma" w:cs="Tahoma"/>
                <w:b/>
                <w:color w:val="943634" w:themeColor="accent2" w:themeShade="BF"/>
                <w:sz w:val="18"/>
                <w:szCs w:val="20"/>
                <w:lang w:eastAsia="es-MX"/>
              </w:rPr>
              <w:t>684</w:t>
            </w:r>
          </w:p>
        </w:tc>
      </w:tr>
    </w:tbl>
    <w:p w:rsidR="00DD3B6B" w:rsidRPr="005B4837" w:rsidRDefault="00DD53BA" w:rsidP="00DD53BA">
      <w:pPr>
        <w:pStyle w:val="ListParagraph"/>
        <w:ind w:left="0"/>
        <w:jc w:val="both"/>
        <w:rPr>
          <w:rFonts w:ascii="Tahoma" w:hAnsi="Tahoma" w:cs="Tahoma"/>
          <w:szCs w:val="24"/>
          <w:lang w:val="es-ES" w:eastAsia="es-MX"/>
        </w:rPr>
      </w:pPr>
      <w:r>
        <w:rPr>
          <w:rFonts w:ascii="Tahoma" w:eastAsiaTheme="minorHAnsi" w:hAnsi="Tahoma" w:cs="Tahoma"/>
          <w:sz w:val="20"/>
        </w:rPr>
        <w:t xml:space="preserve">Fuente: </w:t>
      </w:r>
      <w:r w:rsidRPr="00252C0F">
        <w:rPr>
          <w:rFonts w:ascii="Tahoma" w:hAnsi="Tahoma" w:cs="Tahoma"/>
          <w:sz w:val="20"/>
        </w:rPr>
        <w:t xml:space="preserve">Elaboración propia con información de: </w:t>
      </w:r>
      <w:r w:rsidRPr="00DD53BA">
        <w:rPr>
          <w:rFonts w:ascii="Tahoma" w:eastAsiaTheme="minorHAnsi" w:hAnsi="Tahoma" w:cs="Tahoma"/>
          <w:sz w:val="20"/>
        </w:rPr>
        <w:t>Transparencia Presupuestaria. (2018). Informes sobre la Situación Económica, las Finanzas Públicas y la Deuda Pública. Gasto Federalizado (Avance Financiero) 2017</w:t>
      </w:r>
    </w:p>
    <w:p w:rsidR="007A2F4D" w:rsidRPr="005B4837" w:rsidRDefault="007A2F4D" w:rsidP="005B4837">
      <w:pPr>
        <w:spacing w:after="480" w:line="480" w:lineRule="auto"/>
        <w:jc w:val="both"/>
        <w:rPr>
          <w:rFonts w:ascii="Tahoma" w:hAnsi="Tahoma" w:cs="Tahoma"/>
          <w:sz w:val="24"/>
          <w:szCs w:val="24"/>
        </w:rPr>
      </w:pPr>
      <w:r w:rsidRPr="005B4837">
        <w:rPr>
          <w:rFonts w:ascii="Tahoma" w:hAnsi="Tahoma" w:cs="Tahoma"/>
          <w:sz w:val="24"/>
          <w:szCs w:val="24"/>
        </w:rPr>
        <w:t>De acuerdo con el Artículo 3, en la Ley de Coordinación Fiscal del Estado de Baja California, se establece que los ingresos participables que el Gobierno del Estado recibe de la Federación y que destina para sus municipios se conforman por: el 20% del Fondo de Fiscalización; 20% del Fondo del Impuesto Especial Sobre Producción y Servicios; 20 % del Impuesto Sobre Tenencia o Uso de Vehículos; 20% del Impuesto Sobre Automóviles Nuevos; 20% de la Cuota Sobre las Ventas Finales de Gasolinas y Diésel y el 100% del Fondo de Fomento Municipal.</w:t>
      </w:r>
    </w:p>
    <w:tbl>
      <w:tblPr>
        <w:tblStyle w:val="ColorfulList-Accent2"/>
        <w:tblW w:w="9084" w:type="dxa"/>
        <w:jc w:val="center"/>
        <w:tblLook w:val="04A0" w:firstRow="1" w:lastRow="0" w:firstColumn="1" w:lastColumn="0" w:noHBand="0" w:noVBand="1"/>
      </w:tblPr>
      <w:tblGrid>
        <w:gridCol w:w="222"/>
        <w:gridCol w:w="5488"/>
        <w:gridCol w:w="3374"/>
      </w:tblGrid>
      <w:tr w:rsidR="007A2F4D" w:rsidRPr="004449BF" w:rsidTr="00221780">
        <w:trPr>
          <w:cnfStyle w:val="100000000000" w:firstRow="1" w:lastRow="0" w:firstColumn="0" w:lastColumn="0" w:oddVBand="0" w:evenVBand="0" w:oddHBand="0"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9084" w:type="dxa"/>
            <w:gridSpan w:val="3"/>
            <w:vAlign w:val="center"/>
            <w:hideMark/>
          </w:tcPr>
          <w:p w:rsidR="007A2F4D" w:rsidRPr="00512EF2" w:rsidRDefault="007A2F4D" w:rsidP="00221780">
            <w:pPr>
              <w:spacing w:before="120" w:line="360" w:lineRule="auto"/>
              <w:jc w:val="center"/>
              <w:rPr>
                <w:rFonts w:ascii="Tahoma" w:eastAsia="Times New Roman" w:hAnsi="Tahoma" w:cs="Tahoma"/>
                <w:lang w:eastAsia="es-MX"/>
              </w:rPr>
            </w:pPr>
            <w:r w:rsidRPr="00512EF2">
              <w:rPr>
                <w:rFonts w:ascii="Tahoma" w:eastAsia="Times New Roman" w:hAnsi="Tahoma" w:cs="Tahoma"/>
                <w:lang w:eastAsia="es-MX"/>
              </w:rPr>
              <w:t xml:space="preserve">Ramo 28 Participaciones Federales para el Estado de Baja California, 2017-2018 </w:t>
            </w:r>
          </w:p>
          <w:p w:rsidR="007A2F4D" w:rsidRPr="004449BF" w:rsidRDefault="007A2F4D" w:rsidP="00221780">
            <w:pPr>
              <w:spacing w:before="120" w:line="360" w:lineRule="auto"/>
              <w:jc w:val="center"/>
              <w:rPr>
                <w:rFonts w:ascii="Tahoma" w:eastAsia="Times New Roman" w:hAnsi="Tahoma" w:cs="Tahoma"/>
                <w:color w:val="000000"/>
                <w:sz w:val="20"/>
                <w:szCs w:val="20"/>
                <w:lang w:eastAsia="es-MX"/>
              </w:rPr>
            </w:pPr>
            <w:r w:rsidRPr="00512EF2">
              <w:rPr>
                <w:rFonts w:ascii="Tahoma" w:eastAsia="Times New Roman" w:hAnsi="Tahoma" w:cs="Tahoma"/>
                <w:lang w:eastAsia="es-MX"/>
              </w:rPr>
              <w:t>Millones de pesos y variaciones porcentuales</w:t>
            </w:r>
          </w:p>
        </w:tc>
      </w:tr>
      <w:tr w:rsidR="007A2F4D" w:rsidRPr="004449BF" w:rsidTr="00DD53BA">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710" w:type="dxa"/>
            <w:gridSpan w:val="2"/>
            <w:tcBorders>
              <w:right w:val="single" w:sz="4" w:space="0" w:color="auto"/>
            </w:tcBorders>
            <w:vAlign w:val="center"/>
            <w:hideMark/>
          </w:tcPr>
          <w:p w:rsidR="007A2F4D" w:rsidRPr="004449BF" w:rsidRDefault="007A2F4D" w:rsidP="00221780">
            <w:pPr>
              <w:jc w:val="center"/>
              <w:rPr>
                <w:rFonts w:ascii="Tahoma" w:eastAsia="Times New Roman" w:hAnsi="Tahoma" w:cs="Tahoma"/>
                <w:color w:val="000000"/>
                <w:sz w:val="20"/>
                <w:szCs w:val="20"/>
                <w:lang w:eastAsia="es-MX"/>
              </w:rPr>
            </w:pPr>
            <w:r w:rsidRPr="004449BF">
              <w:rPr>
                <w:rFonts w:ascii="Tahoma" w:eastAsia="Times New Roman" w:hAnsi="Tahoma" w:cs="Tahoma"/>
                <w:color w:val="000000"/>
                <w:sz w:val="20"/>
                <w:szCs w:val="20"/>
                <w:lang w:eastAsia="es-MX"/>
              </w:rPr>
              <w:t>Concepto</w:t>
            </w:r>
          </w:p>
        </w:tc>
        <w:tc>
          <w:tcPr>
            <w:tcW w:w="3374" w:type="dxa"/>
            <w:tcBorders>
              <w:left w:val="single" w:sz="4" w:space="0" w:color="auto"/>
            </w:tcBorders>
            <w:vAlign w:val="center"/>
            <w:hideMark/>
          </w:tcPr>
          <w:p w:rsidR="007A2F4D" w:rsidRPr="004449BF" w:rsidRDefault="007A2F4D" w:rsidP="0022178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2017 Aprobado</w:t>
            </w:r>
          </w:p>
        </w:tc>
      </w:tr>
      <w:tr w:rsidR="007A2F4D" w:rsidRPr="004449BF" w:rsidTr="00DD53BA">
        <w:trPr>
          <w:trHeight w:val="552"/>
          <w:jc w:val="center"/>
        </w:trPr>
        <w:tc>
          <w:tcPr>
            <w:cnfStyle w:val="001000000000" w:firstRow="0" w:lastRow="0" w:firstColumn="1" w:lastColumn="0" w:oddVBand="0" w:evenVBand="0" w:oddHBand="0" w:evenHBand="0" w:firstRowFirstColumn="0" w:firstRowLastColumn="0" w:lastRowFirstColumn="0" w:lastRowLastColumn="0"/>
            <w:tcW w:w="5710" w:type="dxa"/>
            <w:gridSpan w:val="2"/>
            <w:tcBorders>
              <w:right w:val="single" w:sz="4" w:space="0" w:color="auto"/>
            </w:tcBorders>
            <w:noWrap/>
            <w:vAlign w:val="center"/>
            <w:hideMark/>
          </w:tcPr>
          <w:p w:rsidR="007A2F4D" w:rsidRPr="004449BF" w:rsidRDefault="007A2F4D" w:rsidP="00221780">
            <w:pPr>
              <w:rPr>
                <w:rFonts w:ascii="Tahoma" w:eastAsia="Times New Roman" w:hAnsi="Tahoma" w:cs="Tahoma"/>
                <w:color w:val="000000"/>
                <w:sz w:val="20"/>
                <w:szCs w:val="20"/>
                <w:lang w:eastAsia="es-MX"/>
              </w:rPr>
            </w:pPr>
            <w:r w:rsidRPr="004449BF">
              <w:rPr>
                <w:rFonts w:ascii="Tahoma" w:eastAsia="Times New Roman" w:hAnsi="Tahoma" w:cs="Tahoma"/>
                <w:color w:val="000000"/>
                <w:sz w:val="20"/>
                <w:szCs w:val="20"/>
                <w:lang w:eastAsia="es-MX"/>
              </w:rPr>
              <w:t>Total del ramo 28 Participaciones Federales</w:t>
            </w:r>
          </w:p>
        </w:tc>
        <w:tc>
          <w:tcPr>
            <w:tcW w:w="3374" w:type="dxa"/>
            <w:tcBorders>
              <w:left w:val="single" w:sz="4" w:space="0" w:color="auto"/>
            </w:tcBorders>
            <w:noWrap/>
            <w:vAlign w:val="center"/>
            <w:hideMark/>
          </w:tcPr>
          <w:p w:rsidR="007A2F4D" w:rsidRPr="004449BF" w:rsidRDefault="007A2F4D" w:rsidP="00221780">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21,061.50</w:t>
            </w:r>
          </w:p>
        </w:tc>
      </w:tr>
      <w:tr w:rsidR="007A2F4D" w:rsidRPr="004449BF" w:rsidTr="00DD53B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Fondo General de Participaciones</w:t>
            </w:r>
          </w:p>
        </w:tc>
        <w:tc>
          <w:tcPr>
            <w:tcW w:w="3374" w:type="dxa"/>
            <w:tcBorders>
              <w:left w:val="single" w:sz="4" w:space="0" w:color="auto"/>
            </w:tcBorders>
            <w:noWrap/>
            <w:vAlign w:val="center"/>
            <w:hideMark/>
          </w:tcPr>
          <w:p w:rsidR="007A2F4D" w:rsidRPr="004449BF" w:rsidRDefault="007A2F4D" w:rsidP="0022178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15,441.00</w:t>
            </w:r>
          </w:p>
        </w:tc>
      </w:tr>
      <w:tr w:rsidR="007A2F4D" w:rsidRPr="004449BF" w:rsidTr="00DD53BA">
        <w:trPr>
          <w:trHeight w:val="438"/>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Fondo de Fomento Municipal</w:t>
            </w:r>
          </w:p>
        </w:tc>
        <w:tc>
          <w:tcPr>
            <w:tcW w:w="3374" w:type="dxa"/>
            <w:tcBorders>
              <w:left w:val="single" w:sz="4" w:space="0" w:color="auto"/>
            </w:tcBorders>
            <w:noWrap/>
            <w:vAlign w:val="center"/>
            <w:hideMark/>
          </w:tcPr>
          <w:p w:rsidR="007A2F4D" w:rsidRPr="004449BF" w:rsidRDefault="007A2F4D" w:rsidP="00221780">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465.80</w:t>
            </w:r>
          </w:p>
        </w:tc>
      </w:tr>
      <w:tr w:rsidR="007A2F4D" w:rsidRPr="004449BF" w:rsidTr="00DD53BA">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Incentivos Específicos IEPS</w:t>
            </w:r>
          </w:p>
        </w:tc>
        <w:tc>
          <w:tcPr>
            <w:tcW w:w="3374" w:type="dxa"/>
            <w:tcBorders>
              <w:left w:val="single" w:sz="4" w:space="0" w:color="auto"/>
            </w:tcBorders>
            <w:noWrap/>
            <w:vAlign w:val="center"/>
            <w:hideMark/>
          </w:tcPr>
          <w:p w:rsidR="007A2F4D" w:rsidRPr="004449BF" w:rsidRDefault="007A2F4D" w:rsidP="0022178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413.80</w:t>
            </w:r>
          </w:p>
        </w:tc>
      </w:tr>
      <w:tr w:rsidR="007A2F4D" w:rsidRPr="004449BF" w:rsidTr="00DD53BA">
        <w:trPr>
          <w:trHeight w:val="434"/>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Fondo de Fiscalización y Recaudación</w:t>
            </w:r>
          </w:p>
        </w:tc>
        <w:tc>
          <w:tcPr>
            <w:tcW w:w="3374" w:type="dxa"/>
            <w:tcBorders>
              <w:left w:val="single" w:sz="4" w:space="0" w:color="auto"/>
            </w:tcBorders>
            <w:noWrap/>
            <w:vAlign w:val="center"/>
            <w:hideMark/>
          </w:tcPr>
          <w:p w:rsidR="007A2F4D" w:rsidRPr="004449BF" w:rsidRDefault="007A2F4D" w:rsidP="00221780">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1,023.40</w:t>
            </w:r>
          </w:p>
        </w:tc>
      </w:tr>
      <w:tr w:rsidR="007A2F4D" w:rsidRPr="004449BF" w:rsidTr="00221780">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Incentivo a la venta final de diésel y gasolina</w:t>
            </w:r>
          </w:p>
        </w:tc>
        <w:tc>
          <w:tcPr>
            <w:tcW w:w="3374" w:type="dxa"/>
            <w:tcBorders>
              <w:left w:val="single" w:sz="4" w:space="0" w:color="auto"/>
            </w:tcBorders>
            <w:noWrap/>
            <w:vAlign w:val="center"/>
            <w:hideMark/>
          </w:tcPr>
          <w:p w:rsidR="007A2F4D" w:rsidRPr="004449BF" w:rsidRDefault="007A2F4D" w:rsidP="0022178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854.20</w:t>
            </w:r>
          </w:p>
        </w:tc>
      </w:tr>
      <w:tr w:rsidR="007A2F4D" w:rsidRPr="004449BF" w:rsidTr="00221780">
        <w:trPr>
          <w:trHeight w:val="535"/>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Participaciones para municipios que realizan comercio exterior</w:t>
            </w:r>
          </w:p>
        </w:tc>
        <w:tc>
          <w:tcPr>
            <w:tcW w:w="3374" w:type="dxa"/>
            <w:tcBorders>
              <w:left w:val="single" w:sz="4" w:space="0" w:color="auto"/>
            </w:tcBorders>
            <w:noWrap/>
            <w:vAlign w:val="center"/>
            <w:hideMark/>
          </w:tcPr>
          <w:p w:rsidR="007A2F4D" w:rsidRPr="004449BF" w:rsidRDefault="007A2F4D" w:rsidP="00221780">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131.40</w:t>
            </w:r>
          </w:p>
        </w:tc>
      </w:tr>
      <w:tr w:rsidR="007A2F4D" w:rsidRPr="004449BF" w:rsidTr="00221780">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Automóviles nuevos ISAN</w:t>
            </w:r>
          </w:p>
        </w:tc>
        <w:tc>
          <w:tcPr>
            <w:tcW w:w="3374" w:type="dxa"/>
            <w:tcBorders>
              <w:left w:val="single" w:sz="4" w:space="0" w:color="auto"/>
            </w:tcBorders>
            <w:noWrap/>
            <w:vAlign w:val="center"/>
            <w:hideMark/>
          </w:tcPr>
          <w:p w:rsidR="007A2F4D" w:rsidRPr="004449BF" w:rsidRDefault="007A2F4D" w:rsidP="0022178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194.90</w:t>
            </w:r>
          </w:p>
        </w:tc>
      </w:tr>
      <w:tr w:rsidR="007A2F4D" w:rsidRPr="004449BF" w:rsidTr="00221780">
        <w:trPr>
          <w:trHeight w:val="535"/>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Fondo de Compensación del ISAN</w:t>
            </w:r>
          </w:p>
        </w:tc>
        <w:tc>
          <w:tcPr>
            <w:tcW w:w="3374" w:type="dxa"/>
            <w:tcBorders>
              <w:left w:val="single" w:sz="4" w:space="0" w:color="auto"/>
            </w:tcBorders>
            <w:noWrap/>
            <w:vAlign w:val="center"/>
            <w:hideMark/>
          </w:tcPr>
          <w:p w:rsidR="007A2F4D" w:rsidRPr="004449BF" w:rsidRDefault="007A2F4D" w:rsidP="00221780">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57.9</w:t>
            </w:r>
          </w:p>
        </w:tc>
      </w:tr>
      <w:tr w:rsidR="007A2F4D" w:rsidRPr="004449BF" w:rsidTr="00221780">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ISR por salarios en las Entidades Federativas</w:t>
            </w:r>
          </w:p>
        </w:tc>
        <w:tc>
          <w:tcPr>
            <w:tcW w:w="3374" w:type="dxa"/>
            <w:tcBorders>
              <w:left w:val="single" w:sz="4" w:space="0" w:color="auto"/>
            </w:tcBorders>
            <w:noWrap/>
            <w:vAlign w:val="center"/>
            <w:hideMark/>
          </w:tcPr>
          <w:p w:rsidR="007A2F4D" w:rsidRPr="004449BF" w:rsidRDefault="007A2F4D" w:rsidP="0022178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1062.7</w:t>
            </w:r>
          </w:p>
        </w:tc>
      </w:tr>
      <w:tr w:rsidR="007A2F4D" w:rsidRPr="004449BF" w:rsidTr="00221780">
        <w:trPr>
          <w:trHeight w:val="535"/>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Fondo de Compensación de REPECOS e Intermedios</w:t>
            </w:r>
          </w:p>
        </w:tc>
        <w:tc>
          <w:tcPr>
            <w:tcW w:w="3374" w:type="dxa"/>
            <w:tcBorders>
              <w:left w:val="single" w:sz="4" w:space="0" w:color="auto"/>
            </w:tcBorders>
            <w:noWrap/>
            <w:vAlign w:val="center"/>
            <w:hideMark/>
          </w:tcPr>
          <w:p w:rsidR="007A2F4D" w:rsidRPr="004449BF" w:rsidRDefault="007A2F4D" w:rsidP="00221780">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114.9</w:t>
            </w:r>
          </w:p>
        </w:tc>
      </w:tr>
      <w:tr w:rsidR="007A2F4D" w:rsidRPr="004449BF" w:rsidTr="00221780">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22" w:type="dxa"/>
            <w:noWrap/>
            <w:vAlign w:val="center"/>
            <w:hideMark/>
          </w:tcPr>
          <w:p w:rsidR="007A2F4D" w:rsidRPr="004449BF" w:rsidRDefault="007A2F4D" w:rsidP="00221780">
            <w:pPr>
              <w:rPr>
                <w:rFonts w:ascii="Tahoma" w:eastAsia="Times New Roman" w:hAnsi="Tahoma" w:cs="Tahoma"/>
                <w:color w:val="000000"/>
                <w:sz w:val="20"/>
                <w:szCs w:val="20"/>
                <w:lang w:eastAsia="es-MX"/>
              </w:rPr>
            </w:pPr>
          </w:p>
        </w:tc>
        <w:tc>
          <w:tcPr>
            <w:tcW w:w="5488" w:type="dxa"/>
            <w:tcBorders>
              <w:right w:val="single" w:sz="4" w:space="0" w:color="auto"/>
            </w:tcBorders>
            <w:noWrap/>
            <w:vAlign w:val="center"/>
            <w:hideMark/>
          </w:tcPr>
          <w:p w:rsidR="007A2F4D" w:rsidRPr="004449BF" w:rsidRDefault="007A2F4D" w:rsidP="0022178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Otros incentivos económicos</w:t>
            </w:r>
          </w:p>
        </w:tc>
        <w:tc>
          <w:tcPr>
            <w:tcW w:w="3374" w:type="dxa"/>
            <w:tcBorders>
              <w:left w:val="single" w:sz="4" w:space="0" w:color="auto"/>
            </w:tcBorders>
            <w:noWrap/>
            <w:vAlign w:val="center"/>
            <w:hideMark/>
          </w:tcPr>
          <w:p w:rsidR="007A2F4D" w:rsidRPr="004449BF" w:rsidRDefault="007A2F4D" w:rsidP="0022178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0"/>
                <w:szCs w:val="20"/>
                <w:lang w:eastAsia="es-MX"/>
              </w:rPr>
            </w:pPr>
            <w:r w:rsidRPr="004449BF">
              <w:rPr>
                <w:rFonts w:ascii="Tahoma" w:eastAsia="Times New Roman" w:hAnsi="Tahoma" w:cs="Tahoma"/>
                <w:b/>
                <w:color w:val="000000"/>
                <w:sz w:val="20"/>
                <w:szCs w:val="20"/>
                <w:lang w:eastAsia="es-MX"/>
              </w:rPr>
              <w:t>1301.5</w:t>
            </w:r>
          </w:p>
        </w:tc>
      </w:tr>
    </w:tbl>
    <w:p w:rsidR="00DD53BA" w:rsidRPr="005B4837" w:rsidRDefault="00DD53BA" w:rsidP="00DD53BA">
      <w:pPr>
        <w:pStyle w:val="ListParagraph"/>
        <w:ind w:left="0"/>
        <w:jc w:val="both"/>
        <w:rPr>
          <w:rFonts w:ascii="Tahoma" w:hAnsi="Tahoma" w:cs="Tahoma"/>
          <w:szCs w:val="24"/>
          <w:lang w:val="es-ES" w:eastAsia="es-MX"/>
        </w:rPr>
      </w:pPr>
      <w:r>
        <w:rPr>
          <w:rFonts w:ascii="Tahoma" w:eastAsiaTheme="minorHAnsi" w:hAnsi="Tahoma" w:cs="Tahoma"/>
          <w:sz w:val="20"/>
        </w:rPr>
        <w:t xml:space="preserve">Fuente: </w:t>
      </w:r>
      <w:r w:rsidRPr="00252C0F">
        <w:rPr>
          <w:rFonts w:ascii="Tahoma" w:hAnsi="Tahoma" w:cs="Tahoma"/>
          <w:sz w:val="20"/>
        </w:rPr>
        <w:t xml:space="preserve">Elaboración propia con información de: </w:t>
      </w:r>
      <w:r w:rsidRPr="00DD53BA">
        <w:rPr>
          <w:rFonts w:ascii="Tahoma" w:eastAsiaTheme="minorHAnsi" w:hAnsi="Tahoma" w:cs="Tahoma"/>
          <w:sz w:val="20"/>
        </w:rPr>
        <w:t>Transparencia Presupuestaria. (2018). Informes sobre la Situación Económica, las Finanzas Públicas y la Deuda Pública. Gasto Federalizado (Avance Financiero) 2017</w:t>
      </w:r>
    </w:p>
    <w:p w:rsidR="007A2F4D" w:rsidRDefault="007A2F4D" w:rsidP="007A2F4D">
      <w:pPr>
        <w:spacing w:after="120" w:line="480" w:lineRule="auto"/>
        <w:jc w:val="both"/>
        <w:rPr>
          <w:rFonts w:cstheme="minorHAnsi"/>
          <w:sz w:val="24"/>
          <w:szCs w:val="24"/>
        </w:rPr>
      </w:pPr>
    </w:p>
    <w:p w:rsidR="007A2F4D" w:rsidRDefault="007A2F4D" w:rsidP="007A2F4D">
      <w:pPr>
        <w:spacing w:after="480" w:line="480" w:lineRule="auto"/>
        <w:jc w:val="both"/>
        <w:rPr>
          <w:rFonts w:ascii="Tahoma" w:hAnsi="Tahoma" w:cs="Tahoma"/>
          <w:sz w:val="24"/>
          <w:szCs w:val="24"/>
        </w:rPr>
      </w:pPr>
      <w:r>
        <w:rPr>
          <w:rFonts w:ascii="Tahoma" w:hAnsi="Tahoma" w:cs="Tahoma"/>
          <w:sz w:val="24"/>
          <w:szCs w:val="24"/>
        </w:rPr>
        <w:t xml:space="preserve">En promedio </w:t>
      </w:r>
      <w:r w:rsidRPr="00BE2EBB">
        <w:rPr>
          <w:rFonts w:ascii="Tahoma" w:hAnsi="Tahoma" w:cs="Tahoma"/>
          <w:sz w:val="24"/>
          <w:szCs w:val="24"/>
        </w:rPr>
        <w:t>31 de cada 100 pesos que ingresan los gobiernos estatales provienen</w:t>
      </w:r>
      <w:r>
        <w:rPr>
          <w:rFonts w:ascii="Tahoma" w:hAnsi="Tahoma" w:cs="Tahoma"/>
          <w:sz w:val="24"/>
          <w:szCs w:val="24"/>
        </w:rPr>
        <w:t xml:space="preserve"> </w:t>
      </w:r>
      <w:r w:rsidRPr="00BE2EBB">
        <w:rPr>
          <w:rFonts w:ascii="Tahoma" w:hAnsi="Tahoma" w:cs="Tahoma"/>
          <w:sz w:val="24"/>
          <w:szCs w:val="24"/>
        </w:rPr>
        <w:t>de los recursos del Ramo 28 (Participaciones Federales).</w:t>
      </w:r>
      <w:r>
        <w:rPr>
          <w:rFonts w:ascii="Tahoma" w:hAnsi="Tahoma" w:cs="Tahoma"/>
          <w:sz w:val="24"/>
          <w:szCs w:val="24"/>
        </w:rPr>
        <w:t xml:space="preserve"> Para el caso de Baja California el Ingreso por Participaciones federales corresponde al </w:t>
      </w:r>
      <w:r w:rsidRPr="00BE2EBB">
        <w:rPr>
          <w:rFonts w:ascii="Tahoma" w:hAnsi="Tahoma" w:cs="Tahoma"/>
          <w:b/>
          <w:color w:val="943634" w:themeColor="accent2" w:themeShade="BF"/>
          <w:sz w:val="28"/>
          <w:szCs w:val="24"/>
        </w:rPr>
        <w:t>40.5%,</w:t>
      </w:r>
      <w:r w:rsidRPr="00BE2EBB">
        <w:rPr>
          <w:rFonts w:ascii="Tahoma" w:hAnsi="Tahoma" w:cs="Tahoma"/>
          <w:color w:val="943634" w:themeColor="accent2" w:themeShade="BF"/>
          <w:sz w:val="28"/>
          <w:szCs w:val="24"/>
        </w:rPr>
        <w:t xml:space="preserve"> </w:t>
      </w:r>
      <w:r>
        <w:rPr>
          <w:rFonts w:ascii="Tahoma" w:hAnsi="Tahoma" w:cs="Tahoma"/>
          <w:sz w:val="24"/>
          <w:szCs w:val="24"/>
        </w:rPr>
        <w:t>colocándose</w:t>
      </w:r>
      <w:r w:rsidRPr="00BE2EBB">
        <w:rPr>
          <w:rFonts w:ascii="Tahoma" w:hAnsi="Tahoma" w:cs="Tahoma"/>
          <w:sz w:val="24"/>
          <w:szCs w:val="24"/>
        </w:rPr>
        <w:t xml:space="preserve"> </w:t>
      </w:r>
      <w:r>
        <w:rPr>
          <w:rFonts w:ascii="Tahoma" w:hAnsi="Tahoma" w:cs="Tahoma"/>
          <w:sz w:val="24"/>
          <w:szCs w:val="24"/>
        </w:rPr>
        <w:t xml:space="preserve">dentro de </w:t>
      </w:r>
      <w:r w:rsidRPr="00BE2EBB">
        <w:rPr>
          <w:rFonts w:ascii="Tahoma" w:hAnsi="Tahoma" w:cs="Tahoma"/>
          <w:sz w:val="24"/>
          <w:szCs w:val="24"/>
        </w:rPr>
        <w:t>las cinco</w:t>
      </w:r>
      <w:r>
        <w:rPr>
          <w:rFonts w:ascii="Tahoma" w:hAnsi="Tahoma" w:cs="Tahoma"/>
          <w:sz w:val="24"/>
          <w:szCs w:val="24"/>
        </w:rPr>
        <w:t xml:space="preserve"> </w:t>
      </w:r>
      <w:r w:rsidRPr="00BE2EBB">
        <w:rPr>
          <w:rFonts w:ascii="Tahoma" w:hAnsi="Tahoma" w:cs="Tahoma"/>
          <w:sz w:val="24"/>
          <w:szCs w:val="24"/>
        </w:rPr>
        <w:t xml:space="preserve">entidades federativas que tienen mayores ingresos por </w:t>
      </w:r>
      <w:r>
        <w:rPr>
          <w:rFonts w:ascii="Tahoma" w:hAnsi="Tahoma" w:cs="Tahoma"/>
          <w:sz w:val="24"/>
          <w:szCs w:val="24"/>
        </w:rPr>
        <w:t xml:space="preserve">este </w:t>
      </w:r>
      <w:r w:rsidRPr="00BE2EBB">
        <w:rPr>
          <w:rFonts w:ascii="Tahoma" w:hAnsi="Tahoma" w:cs="Tahoma"/>
          <w:sz w:val="24"/>
          <w:szCs w:val="24"/>
        </w:rPr>
        <w:t>concepto</w:t>
      </w:r>
      <w:r>
        <w:rPr>
          <w:rFonts w:ascii="Tahoma" w:hAnsi="Tahoma" w:cs="Tahoma"/>
          <w:sz w:val="24"/>
          <w:szCs w:val="24"/>
        </w:rPr>
        <w:t>.</w:t>
      </w:r>
    </w:p>
    <w:p w:rsidR="002850EF" w:rsidRDefault="002850EF" w:rsidP="007A2F4D">
      <w:pPr>
        <w:spacing w:after="480" w:line="480" w:lineRule="auto"/>
        <w:jc w:val="both"/>
        <w:rPr>
          <w:rFonts w:ascii="Tahoma" w:hAnsi="Tahoma" w:cs="Tahoma"/>
          <w:sz w:val="24"/>
          <w:szCs w:val="24"/>
        </w:rPr>
      </w:pPr>
      <w:r>
        <w:rPr>
          <w:rFonts w:ascii="Tahoma" w:hAnsi="Tahoma" w:cs="Tahoma"/>
          <w:sz w:val="24"/>
          <w:szCs w:val="24"/>
        </w:rPr>
        <w:t xml:space="preserve">El incremento en las participaciones fue debido principalmente a que se recaudó más de lo esperada, por lo que la reasignación de acuerdo a la fórmula de distribución de las </w:t>
      </w:r>
      <w:r w:rsidR="00E0113E">
        <w:rPr>
          <w:rFonts w:ascii="Tahoma" w:hAnsi="Tahoma" w:cs="Tahoma"/>
          <w:sz w:val="24"/>
          <w:szCs w:val="24"/>
        </w:rPr>
        <w:t>participaciones</w:t>
      </w:r>
      <w:r>
        <w:rPr>
          <w:rFonts w:ascii="Tahoma" w:hAnsi="Tahoma" w:cs="Tahoma"/>
          <w:sz w:val="24"/>
          <w:szCs w:val="24"/>
        </w:rPr>
        <w:t xml:space="preserve"> se logró que se transfirieran a la Administración Estatal un total de $ </w:t>
      </w:r>
      <w:r w:rsidRPr="002850EF">
        <w:rPr>
          <w:rFonts w:ascii="Tahoma" w:hAnsi="Tahoma" w:cs="Tahoma"/>
          <w:sz w:val="24"/>
          <w:szCs w:val="24"/>
        </w:rPr>
        <w:t>1</w:t>
      </w:r>
      <w:r>
        <w:rPr>
          <w:rFonts w:ascii="Tahoma" w:hAnsi="Tahoma" w:cs="Tahoma"/>
          <w:sz w:val="24"/>
          <w:szCs w:val="24"/>
        </w:rPr>
        <w:t>,</w:t>
      </w:r>
      <w:r w:rsidRPr="002850EF">
        <w:rPr>
          <w:rFonts w:ascii="Tahoma" w:hAnsi="Tahoma" w:cs="Tahoma"/>
          <w:sz w:val="24"/>
          <w:szCs w:val="24"/>
        </w:rPr>
        <w:t>822</w:t>
      </w:r>
      <w:r>
        <w:rPr>
          <w:rFonts w:ascii="Tahoma" w:hAnsi="Tahoma" w:cs="Tahoma"/>
          <w:sz w:val="24"/>
          <w:szCs w:val="24"/>
        </w:rPr>
        <w:t>´</w:t>
      </w:r>
      <w:r w:rsidRPr="002850EF">
        <w:rPr>
          <w:rFonts w:ascii="Tahoma" w:hAnsi="Tahoma" w:cs="Tahoma"/>
          <w:sz w:val="24"/>
          <w:szCs w:val="24"/>
        </w:rPr>
        <w:t>411</w:t>
      </w:r>
      <w:r>
        <w:rPr>
          <w:rFonts w:ascii="Tahoma" w:hAnsi="Tahoma" w:cs="Tahoma"/>
          <w:sz w:val="24"/>
          <w:szCs w:val="24"/>
        </w:rPr>
        <w:t>,</w:t>
      </w:r>
      <w:r w:rsidRPr="002850EF">
        <w:rPr>
          <w:rFonts w:ascii="Tahoma" w:hAnsi="Tahoma" w:cs="Tahoma"/>
          <w:sz w:val="24"/>
          <w:szCs w:val="24"/>
        </w:rPr>
        <w:t>849.11</w:t>
      </w:r>
      <w:r>
        <w:rPr>
          <w:rFonts w:ascii="Tahoma" w:hAnsi="Tahoma" w:cs="Tahoma"/>
          <w:sz w:val="24"/>
          <w:szCs w:val="24"/>
        </w:rPr>
        <w:t xml:space="preserve"> por arriba del Programado autorizado en PEF 2017. De este incremento el 20% fue Transferido a los municipios del Estado de Baja California de acuerdo al principio de distribuci</w:t>
      </w:r>
      <w:r w:rsidR="00C72455">
        <w:rPr>
          <w:rFonts w:ascii="Tahoma" w:hAnsi="Tahoma" w:cs="Tahoma"/>
          <w:sz w:val="24"/>
          <w:szCs w:val="24"/>
        </w:rPr>
        <w:t>ón</w:t>
      </w:r>
      <w:r w:rsidR="00C72455" w:rsidRPr="00C72455">
        <w:rPr>
          <w:rFonts w:ascii="Tahoma" w:hAnsi="Tahoma" w:cs="Tahoma"/>
          <w:sz w:val="24"/>
          <w:szCs w:val="24"/>
        </w:rPr>
        <w:t>, de acuerdo con la Ley de Coordinación Fiscal y los Convenios de Adhesión al Sistema Nacional de Coordinación Fiscal y sus anexos, así como de conformidad con los Convenios de Colaboración Administrativa en Materia Fiscal Federal y sus anexos</w:t>
      </w:r>
    </w:p>
    <w:p w:rsidR="005B4837" w:rsidRDefault="007A2F4D" w:rsidP="007A2F4D">
      <w:pPr>
        <w:spacing w:after="480" w:line="480" w:lineRule="auto"/>
        <w:jc w:val="both"/>
        <w:rPr>
          <w:rFonts w:ascii="Tahoma" w:hAnsi="Tahoma" w:cs="Tahoma"/>
          <w:sz w:val="24"/>
          <w:szCs w:val="24"/>
        </w:rPr>
      </w:pPr>
      <w:r>
        <w:rPr>
          <w:rFonts w:ascii="Tahoma" w:hAnsi="Tahoma" w:cs="Tahoma"/>
          <w:sz w:val="24"/>
          <w:szCs w:val="24"/>
        </w:rPr>
        <w:t>Cabe mencionarse que p</w:t>
      </w:r>
      <w:r w:rsidRPr="00345BFD">
        <w:rPr>
          <w:rFonts w:ascii="Tahoma" w:hAnsi="Tahoma" w:cs="Tahoma"/>
          <w:sz w:val="24"/>
          <w:szCs w:val="24"/>
        </w:rPr>
        <w:t xml:space="preserve">ara el ejercicio fiscal de 2017, </w:t>
      </w:r>
      <w:r>
        <w:rPr>
          <w:rFonts w:ascii="Tahoma" w:hAnsi="Tahoma" w:cs="Tahoma"/>
          <w:sz w:val="24"/>
          <w:szCs w:val="24"/>
        </w:rPr>
        <w:t>el presupuesto aprobado,</w:t>
      </w:r>
      <w:r w:rsidRPr="00A9465D">
        <w:rPr>
          <w:rFonts w:ascii="Tahoma" w:hAnsi="Tahoma" w:cs="Tahoma"/>
          <w:sz w:val="24"/>
          <w:szCs w:val="24"/>
        </w:rPr>
        <w:t xml:space="preserve"> presenta un</w:t>
      </w:r>
      <w:r>
        <w:rPr>
          <w:rFonts w:ascii="Tahoma" w:hAnsi="Tahoma" w:cs="Tahoma"/>
          <w:b/>
          <w:sz w:val="24"/>
          <w:szCs w:val="24"/>
        </w:rPr>
        <w:t xml:space="preserve"> </w:t>
      </w:r>
      <w:r w:rsidRPr="005B4837">
        <w:rPr>
          <w:rFonts w:ascii="Tahoma" w:hAnsi="Tahoma" w:cs="Tahoma"/>
          <w:b/>
          <w:color w:val="943634" w:themeColor="accent2" w:themeShade="BF"/>
          <w:sz w:val="32"/>
          <w:szCs w:val="24"/>
        </w:rPr>
        <w:t xml:space="preserve">incremento de $2,397.5 millones de pesos </w:t>
      </w:r>
      <w:r w:rsidRPr="00345BFD">
        <w:rPr>
          <w:rFonts w:ascii="Tahoma" w:hAnsi="Tahoma" w:cs="Tahoma"/>
          <w:sz w:val="24"/>
          <w:szCs w:val="24"/>
        </w:rPr>
        <w:t>para el Ramo General 28</w:t>
      </w:r>
      <w:r>
        <w:rPr>
          <w:rFonts w:ascii="Tahoma" w:hAnsi="Tahoma" w:cs="Tahoma"/>
          <w:sz w:val="24"/>
          <w:szCs w:val="24"/>
        </w:rPr>
        <w:t>, Participaciones Federales,</w:t>
      </w:r>
      <w:r w:rsidRPr="00345BFD">
        <w:rPr>
          <w:rFonts w:ascii="Tahoma" w:hAnsi="Tahoma" w:cs="Tahoma"/>
          <w:sz w:val="24"/>
          <w:szCs w:val="24"/>
        </w:rPr>
        <w:t xml:space="preserve"> cifra </w:t>
      </w:r>
      <w:r>
        <w:rPr>
          <w:rFonts w:ascii="Tahoma" w:hAnsi="Tahoma" w:cs="Tahoma"/>
          <w:sz w:val="24"/>
          <w:szCs w:val="24"/>
        </w:rPr>
        <w:t>12.84</w:t>
      </w:r>
      <w:r w:rsidRPr="00345BFD">
        <w:rPr>
          <w:rFonts w:ascii="Tahoma" w:hAnsi="Tahoma" w:cs="Tahoma"/>
          <w:sz w:val="24"/>
          <w:szCs w:val="24"/>
        </w:rPr>
        <w:t xml:space="preserve"> por ciento superior</w:t>
      </w:r>
      <w:r>
        <w:rPr>
          <w:rFonts w:ascii="Tahoma" w:hAnsi="Tahoma" w:cs="Tahoma"/>
          <w:sz w:val="24"/>
          <w:szCs w:val="24"/>
        </w:rPr>
        <w:t>,</w:t>
      </w:r>
      <w:r w:rsidRPr="00345BFD">
        <w:rPr>
          <w:rFonts w:ascii="Tahoma" w:hAnsi="Tahoma" w:cs="Tahoma"/>
          <w:sz w:val="24"/>
          <w:szCs w:val="24"/>
        </w:rPr>
        <w:t xml:space="preserve"> en términos reales</w:t>
      </w:r>
      <w:r w:rsidRPr="00AD7680">
        <w:rPr>
          <w:rFonts w:ascii="Tahoma" w:hAnsi="Tahoma" w:cs="Tahoma"/>
          <w:sz w:val="24"/>
          <w:szCs w:val="24"/>
        </w:rPr>
        <w:t xml:space="preserve"> </w:t>
      </w:r>
      <w:r>
        <w:rPr>
          <w:rFonts w:ascii="Tahoma" w:hAnsi="Tahoma" w:cs="Tahoma"/>
          <w:sz w:val="24"/>
          <w:szCs w:val="24"/>
        </w:rPr>
        <w:t xml:space="preserve">respecto a los $18,664.0 </w:t>
      </w:r>
      <w:r w:rsidRPr="00345BFD">
        <w:rPr>
          <w:rFonts w:ascii="Tahoma" w:hAnsi="Tahoma" w:cs="Tahoma"/>
          <w:sz w:val="24"/>
          <w:szCs w:val="24"/>
        </w:rPr>
        <w:t>millones de pesos</w:t>
      </w:r>
      <w:r>
        <w:rPr>
          <w:rFonts w:ascii="Tahoma" w:hAnsi="Tahoma" w:cs="Tahoma"/>
          <w:sz w:val="24"/>
          <w:szCs w:val="24"/>
        </w:rPr>
        <w:t xml:space="preserve"> </w:t>
      </w:r>
      <w:r w:rsidRPr="00345BFD">
        <w:rPr>
          <w:rFonts w:ascii="Tahoma" w:hAnsi="Tahoma" w:cs="Tahoma"/>
          <w:sz w:val="24"/>
          <w:szCs w:val="24"/>
        </w:rPr>
        <w:t>aprobado</w:t>
      </w:r>
      <w:r>
        <w:rPr>
          <w:rFonts w:ascii="Tahoma" w:hAnsi="Tahoma" w:cs="Tahoma"/>
          <w:sz w:val="24"/>
          <w:szCs w:val="24"/>
        </w:rPr>
        <w:t>s</w:t>
      </w:r>
      <w:r w:rsidRPr="00345BFD">
        <w:rPr>
          <w:rFonts w:ascii="Tahoma" w:hAnsi="Tahoma" w:cs="Tahoma"/>
          <w:sz w:val="24"/>
          <w:szCs w:val="24"/>
        </w:rPr>
        <w:t xml:space="preserve"> en 2016.</w:t>
      </w:r>
    </w:p>
    <w:p w:rsidR="005B4837" w:rsidRPr="00811288" w:rsidRDefault="00114ACA" w:rsidP="005B4837">
      <w:pPr>
        <w:spacing w:after="480" w:line="480" w:lineRule="auto"/>
        <w:jc w:val="both"/>
        <w:rPr>
          <w:rFonts w:ascii="Tahoma" w:hAnsi="Tahoma" w:cs="Tahoma"/>
          <w:b/>
          <w:color w:val="943634" w:themeColor="accent2" w:themeShade="BF"/>
          <w:sz w:val="32"/>
          <w:szCs w:val="24"/>
        </w:rPr>
      </w:pPr>
      <w:r>
        <w:rPr>
          <w:noProof/>
          <w:lang w:val="en-US"/>
        </w:rPr>
        <w:drawing>
          <wp:anchor distT="0" distB="0" distL="114300" distR="114300" simplePos="0" relativeHeight="251678208" behindDoc="0" locked="0" layoutInCell="1" allowOverlap="1">
            <wp:simplePos x="0" y="0"/>
            <wp:positionH relativeFrom="column">
              <wp:posOffset>2215515</wp:posOffset>
            </wp:positionH>
            <wp:positionV relativeFrom="paragraph">
              <wp:posOffset>1941195</wp:posOffset>
            </wp:positionV>
            <wp:extent cx="1457325" cy="1457325"/>
            <wp:effectExtent l="0" t="0" r="9525" b="9525"/>
            <wp:wrapSquare wrapText="bothSides"/>
            <wp:docPr id="37" name="Imagen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837">
        <w:rPr>
          <w:rFonts w:ascii="Tahoma" w:hAnsi="Tahoma" w:cs="Tahoma"/>
          <w:sz w:val="24"/>
          <w:szCs w:val="24"/>
        </w:rPr>
        <w:t>De acuerdo con la información se incrementó la capacidad recaudatoria,</w:t>
      </w:r>
      <w:r>
        <w:rPr>
          <w:rFonts w:ascii="Tahoma" w:hAnsi="Tahoma" w:cs="Tahoma"/>
          <w:sz w:val="24"/>
          <w:szCs w:val="24"/>
        </w:rPr>
        <w:t xml:space="preserve"> </w:t>
      </w:r>
      <w:r w:rsidRPr="00114ACA">
        <w:rPr>
          <w:rFonts w:ascii="Tahoma" w:hAnsi="Tahoma" w:cs="Tahoma"/>
          <w:b/>
          <w:color w:val="943634" w:themeColor="accent2" w:themeShade="BF"/>
          <w:sz w:val="32"/>
          <w:szCs w:val="24"/>
        </w:rPr>
        <w:t>104%</w:t>
      </w:r>
      <w:r>
        <w:rPr>
          <w:rFonts w:ascii="Tahoma" w:hAnsi="Tahoma" w:cs="Tahoma"/>
          <w:sz w:val="24"/>
          <w:szCs w:val="24"/>
        </w:rPr>
        <w:t xml:space="preserve"> por arriba de lo programado,</w:t>
      </w:r>
      <w:r w:rsidR="005B4837">
        <w:rPr>
          <w:rFonts w:ascii="Tahoma" w:hAnsi="Tahoma" w:cs="Tahoma"/>
          <w:sz w:val="24"/>
          <w:szCs w:val="24"/>
        </w:rPr>
        <w:t xml:space="preserve"> lo que motivo un incremento del Recurso Participable para el Estado de Baja California; además el Estado realizo en tiempo y forma las transferencias de las participaciones a los Municipios al </w:t>
      </w:r>
      <w:r w:rsidR="005B4837" w:rsidRPr="005B4837">
        <w:rPr>
          <w:rFonts w:ascii="Tahoma" w:hAnsi="Tahoma" w:cs="Tahoma"/>
          <w:b/>
          <w:color w:val="943634" w:themeColor="accent2" w:themeShade="BF"/>
          <w:sz w:val="32"/>
          <w:szCs w:val="24"/>
        </w:rPr>
        <w:t>100%.</w:t>
      </w:r>
      <w:r w:rsidR="005B4837" w:rsidRPr="00811288">
        <w:rPr>
          <w:rFonts w:ascii="Tahoma" w:hAnsi="Tahoma" w:cs="Tahoma"/>
          <w:sz w:val="24"/>
          <w:szCs w:val="24"/>
        </w:rPr>
        <w:t xml:space="preserve"> Obteniendo una evaluación</w:t>
      </w:r>
      <w:r w:rsidR="005B4837">
        <w:rPr>
          <w:rFonts w:ascii="Tahoma" w:hAnsi="Tahoma" w:cs="Tahoma"/>
          <w:color w:val="943634" w:themeColor="accent2" w:themeShade="BF"/>
          <w:sz w:val="36"/>
          <w:szCs w:val="24"/>
        </w:rPr>
        <w:t xml:space="preserve"> </w:t>
      </w:r>
      <w:r w:rsidR="005B4837" w:rsidRPr="00811288">
        <w:rPr>
          <w:rFonts w:ascii="Tahoma" w:hAnsi="Tahoma" w:cs="Tahoma"/>
          <w:b/>
          <w:color w:val="943634" w:themeColor="accent2" w:themeShade="BF"/>
          <w:sz w:val="32"/>
          <w:szCs w:val="24"/>
        </w:rPr>
        <w:t>Excelente.</w:t>
      </w:r>
      <w:r w:rsidRPr="00114ACA">
        <w:t xml:space="preserve"> </w:t>
      </w:r>
    </w:p>
    <w:p w:rsidR="00027D8B" w:rsidRDefault="00027D8B" w:rsidP="007A2F4D">
      <w:pPr>
        <w:spacing w:after="480" w:line="480" w:lineRule="auto"/>
        <w:jc w:val="both"/>
        <w:rPr>
          <w:rFonts w:ascii="Tahoma" w:hAnsi="Tahoma" w:cs="Tahoma"/>
          <w:sz w:val="24"/>
          <w:szCs w:val="24"/>
        </w:rPr>
      </w:pPr>
      <w:r>
        <w:rPr>
          <w:rFonts w:ascii="Tahoma" w:hAnsi="Tahoma" w:cs="Tahoma"/>
          <w:sz w:val="24"/>
          <w:szCs w:val="24"/>
        </w:rPr>
        <w:br w:type="page"/>
      </w:r>
    </w:p>
    <w:p w:rsidR="00DD3B6B" w:rsidRDefault="00DD3B6B" w:rsidP="00573B70">
      <w:pPr>
        <w:pStyle w:val="ListParagraph"/>
        <w:ind w:left="1428"/>
        <w:jc w:val="both"/>
        <w:rPr>
          <w:rFonts w:ascii="Tahoma" w:hAnsi="Tahoma" w:cs="Tahoma"/>
          <w:szCs w:val="24"/>
          <w:lang w:val="es-ES" w:eastAsia="es-MX"/>
        </w:rPr>
      </w:pPr>
    </w:p>
    <w:p w:rsidR="00C44909" w:rsidRDefault="00C44909" w:rsidP="00573B70">
      <w:pPr>
        <w:pStyle w:val="ListParagraph"/>
        <w:ind w:left="1428"/>
        <w:jc w:val="both"/>
        <w:rPr>
          <w:rFonts w:ascii="Tahoma" w:hAnsi="Tahoma" w:cs="Tahoma"/>
          <w:szCs w:val="24"/>
          <w:lang w:val="es-ES" w:eastAsia="es-MX"/>
        </w:rPr>
      </w:pPr>
    </w:p>
    <w:p w:rsidR="00C44909" w:rsidRDefault="00C44909" w:rsidP="00573B70">
      <w:pPr>
        <w:pStyle w:val="ListParagraph"/>
        <w:ind w:left="1428"/>
        <w:jc w:val="both"/>
        <w:rPr>
          <w:rFonts w:ascii="Tahoma" w:hAnsi="Tahoma" w:cs="Tahoma"/>
          <w:szCs w:val="24"/>
          <w:lang w:val="es-ES" w:eastAsia="es-MX"/>
        </w:rPr>
      </w:pPr>
    </w:p>
    <w:p w:rsidR="00C44909" w:rsidRDefault="00C44909" w:rsidP="00573B70">
      <w:pPr>
        <w:pStyle w:val="ListParagraph"/>
        <w:ind w:left="1428"/>
        <w:jc w:val="both"/>
        <w:rPr>
          <w:rFonts w:ascii="Tahoma" w:hAnsi="Tahoma" w:cs="Tahoma"/>
          <w:szCs w:val="24"/>
          <w:lang w:val="es-ES" w:eastAsia="es-MX"/>
        </w:rPr>
      </w:pPr>
    </w:p>
    <w:p w:rsidR="00C44909" w:rsidRDefault="00C44909" w:rsidP="00573B70">
      <w:pPr>
        <w:pStyle w:val="ListParagraph"/>
        <w:ind w:left="1428"/>
        <w:jc w:val="both"/>
        <w:rPr>
          <w:rFonts w:ascii="Tahoma" w:hAnsi="Tahoma" w:cs="Tahoma"/>
          <w:szCs w:val="24"/>
          <w:lang w:val="es-ES" w:eastAsia="es-MX"/>
        </w:rPr>
      </w:pPr>
    </w:p>
    <w:p w:rsidR="00C44909" w:rsidRDefault="00C44909" w:rsidP="00573B70">
      <w:pPr>
        <w:pStyle w:val="ListParagraph"/>
        <w:ind w:left="1428"/>
        <w:jc w:val="both"/>
        <w:rPr>
          <w:rFonts w:ascii="Tahoma" w:hAnsi="Tahoma" w:cs="Tahoma"/>
          <w:szCs w:val="24"/>
          <w:lang w:val="es-ES" w:eastAsia="es-MX"/>
        </w:rPr>
      </w:pPr>
    </w:p>
    <w:p w:rsidR="00C44909" w:rsidRDefault="00C44909" w:rsidP="00573B70">
      <w:pPr>
        <w:pStyle w:val="ListParagraph"/>
        <w:ind w:left="1428"/>
        <w:jc w:val="both"/>
        <w:rPr>
          <w:rFonts w:ascii="Tahoma" w:hAnsi="Tahoma" w:cs="Tahoma"/>
          <w:szCs w:val="24"/>
          <w:lang w:val="es-ES" w:eastAsia="es-MX"/>
        </w:rPr>
      </w:pPr>
    </w:p>
    <w:p w:rsidR="00C44909" w:rsidRDefault="00C44909" w:rsidP="00573B70">
      <w:pPr>
        <w:pStyle w:val="ListParagraph"/>
        <w:ind w:left="1428"/>
        <w:jc w:val="both"/>
        <w:rPr>
          <w:rFonts w:ascii="Tahoma" w:hAnsi="Tahoma" w:cs="Tahoma"/>
          <w:szCs w:val="24"/>
          <w:lang w:val="es-ES" w:eastAsia="es-MX"/>
        </w:rPr>
      </w:pPr>
    </w:p>
    <w:p w:rsidR="00C44909" w:rsidRDefault="00C44909"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E72516" w:rsidP="00573B70">
      <w:pPr>
        <w:pStyle w:val="ListParagraph"/>
        <w:ind w:left="1428"/>
        <w:jc w:val="both"/>
        <w:rPr>
          <w:rFonts w:ascii="Tahoma" w:hAnsi="Tahoma" w:cs="Tahoma"/>
          <w:szCs w:val="24"/>
          <w:lang w:val="es-ES" w:eastAsia="es-MX"/>
        </w:rPr>
      </w:pPr>
      <w:r>
        <w:rPr>
          <w:rFonts w:ascii="Tahoma" w:hAnsi="Tahoma" w:cs="Tahoma"/>
          <w:noProof/>
          <w:szCs w:val="24"/>
          <w:lang w:val="en-US"/>
        </w:rPr>
        <w:drawing>
          <wp:anchor distT="0" distB="0" distL="114300" distR="114300" simplePos="0" relativeHeight="251691520" behindDoc="1" locked="0" layoutInCell="1" allowOverlap="1" wp14:anchorId="65CBAEE0" wp14:editId="5200BDC3">
            <wp:simplePos x="0" y="0"/>
            <wp:positionH relativeFrom="column">
              <wp:posOffset>62865</wp:posOffset>
            </wp:positionH>
            <wp:positionV relativeFrom="paragraph">
              <wp:posOffset>69850</wp:posOffset>
            </wp:positionV>
            <wp:extent cx="6057900" cy="3721735"/>
            <wp:effectExtent l="0" t="0" r="0" b="0"/>
            <wp:wrapNone/>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_2135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57900" cy="3721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D3B6B">
        <w:rPr>
          <w:noProof/>
          <w:color w:val="EEECE1" w:themeColor="background2"/>
          <w:lang w:val="en-US"/>
        </w:rPr>
        <mc:AlternateContent>
          <mc:Choice Requires="wps">
            <w:drawing>
              <wp:anchor distT="0" distB="0" distL="114300" distR="114300" simplePos="0" relativeHeight="251690496" behindDoc="0" locked="0" layoutInCell="1" allowOverlap="1" wp14:anchorId="6397418E" wp14:editId="3CBAD009">
                <wp:simplePos x="0" y="0"/>
                <wp:positionH relativeFrom="column">
                  <wp:posOffset>1361440</wp:posOffset>
                </wp:positionH>
                <wp:positionV relativeFrom="paragraph">
                  <wp:posOffset>138430</wp:posOffset>
                </wp:positionV>
                <wp:extent cx="4678045" cy="2458085"/>
                <wp:effectExtent l="0" t="0" r="27305" b="18415"/>
                <wp:wrapNone/>
                <wp:docPr id="8" name="8 Rectángulo redondeado"/>
                <wp:cNvGraphicFramePr/>
                <a:graphic xmlns:a="http://schemas.openxmlformats.org/drawingml/2006/main">
                  <a:graphicData uri="http://schemas.microsoft.com/office/word/2010/wordprocessingShape">
                    <wps:wsp>
                      <wps:cNvSpPr/>
                      <wps:spPr>
                        <a:xfrm>
                          <a:off x="0" y="0"/>
                          <a:ext cx="4678045" cy="2458085"/>
                        </a:xfrm>
                        <a:prstGeom prst="roundRect">
                          <a:avLst/>
                        </a:prstGeom>
                        <a:solidFill>
                          <a:srgbClr val="1E1E14"/>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3.</w:t>
                            </w:r>
                            <w:r w:rsidRPr="00DD3B6B">
                              <w:rPr>
                                <w:color w:val="FFFFFF" w:themeColor="background1"/>
                                <w:sz w:val="48"/>
                              </w:rPr>
                              <w:tab/>
                              <w:t>Análisis de la Cobertura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97418E" id="8 Rectángulo redondeado" o:spid="_x0000_s1036" style="position:absolute;left:0;text-align:left;margin-left:107.2pt;margin-top:10.9pt;width:368.35pt;height:193.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3pgIAAJMFAAAOAAAAZHJzL2Uyb0RvYy54bWysVM1u2zAMvg/YOwi6r3YCp82COkXQrsOA&#10;oi3aDj0rshwbkEWNUuJkb7Nn2YuVkn8adMUOwxJAJkXy449Inl/sG812Cl0NJueTk5QzZSQUtdnk&#10;/PvT9ac5Z84LUwgNRuX8oBy/WH78cN7ahZpCBbpQyAjEuEVrc155bxdJ4mSlGuFOwCpDwhKwEZ5Y&#10;3CQFipbQG51M0/Q0aQELiyCVc3R71Qn5MuKXpZL+riyd8kznnGLz8cR4rsOZLM/FYoPCVrXswxD/&#10;EEUjakNOR6gr4QXbYv0HVFNLBAelP5HQJFCWtVQxB8pmkr7J5rESVsVcqDjOjmVy/w9W3u7ukdVF&#10;zumhjGjoiebsgcr2+5fZbDUwVAWYQokCQq1a6xZk8mjvsecckSHxfYlN+FJKbB/rexjrq/aeSbrM&#10;Ts/maTbjTJJsms3m6XwWUJNXc4vOf1XQsEDkHGFrihBOLK7Y3Tjf6Q96waUDXRfXtdaRwc36UiPb&#10;CXrxyRf6Z72LI7Uk5NFFHil/0CoYa/OgSqoGxTqNHmMfqhFPSKmMn3SiShSqczNL6Td4CZ0bLGJa&#10;ETAglxTeiN0DDJodyIDd5dfrB1MV23g0Tv8WWGc8WkTPYPxo3NQG8D0ATVn1njt9Cv+oNIH0+/U+&#10;dsok5hqu1lAcqH0QurlyVl7X9G43wvl7gTRINHK0HPwdHaWGNufQU5xVgD/fuw/61N8k5aylwcy5&#10;+7EVqDjT3wx1/udJloVJjkw2O5sSg8eS9bHEbJtLCJ1Aa8jKSAZ9rweyRGieaYesglcSCSPJd86l&#10;x4G59N3CoC0k1WoV1Wh6rfA35tHKAB4KHVryaf8s0PbN66nvb2EYYrF4076dbrA0sNp6KOvY2691&#10;7Z+AJj/2Ur+lwmo55qPW6y5dvgAAAP//AwBQSwMEFAAGAAgAAAAhAAQrZaffAAAACgEAAA8AAABk&#10;cnMvZG93bnJldi54bWxMj8FOwzAMhu9IvENkJG4sbemmtWs6wSQuSBwoE+es8dqyxClJ1pW3JzvB&#10;zZY//f7+ajsbzSZ0frAkIF0kwJBaqwbqBOw/Xh7WwHyQpKS2hAJ+0MO2vr2pZKnshd5xakLHYgj5&#10;UgroQxhLzn3bo5F+YUekeDtaZ2SIq+u4cvISw43mWZKsuJEDxQ+9HHHXY3tqzkbASjZvX24qdjz7&#10;3OtHN32fnpevQtzfzU8bYAHn8AfDVT+qQx2dDvZMyjMtIEvzPKLXIVaIQLFMU2AHAXmyLoDXFf9f&#10;of4FAAD//wMAUEsBAi0AFAAGAAgAAAAhALaDOJL+AAAA4QEAABMAAAAAAAAAAAAAAAAAAAAAAFtD&#10;b250ZW50X1R5cGVzXS54bWxQSwECLQAUAAYACAAAACEAOP0h/9YAAACUAQAACwAAAAAAAAAAAAAA&#10;AAAvAQAAX3JlbHMvLnJlbHNQSwECLQAUAAYACAAAACEA8PvIt6YCAACTBQAADgAAAAAAAAAAAAAA&#10;AAAuAgAAZHJzL2Uyb0RvYy54bWxQSwECLQAUAAYACAAAACEABCtlp98AAAAKAQAADwAAAAAAAAAA&#10;AAAAAAAABQAAZHJzL2Rvd25yZXYueG1sUEsFBgAAAAAEAAQA8wAAAAwGAAAAAA==&#10;" fillcolor="#1e1e14" strokecolor="#243f60 [1604]" strokeweight="2pt">
                <v:textbo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3.</w:t>
                      </w:r>
                      <w:r w:rsidRPr="00DD3B6B">
                        <w:rPr>
                          <w:color w:val="FFFFFF" w:themeColor="background1"/>
                          <w:sz w:val="48"/>
                        </w:rPr>
                        <w:tab/>
                        <w:t>Análisis de la Cobertura</w:t>
                      </w:r>
                    </w:p>
                  </w:txbxContent>
                </v:textbox>
              </v:roundrect>
            </w:pict>
          </mc:Fallback>
        </mc:AlternateContent>
      </w: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E72516" w:rsidP="00573B70">
      <w:pPr>
        <w:pStyle w:val="ListParagraph"/>
        <w:ind w:left="1428"/>
        <w:jc w:val="both"/>
        <w:rPr>
          <w:rFonts w:ascii="Tahoma" w:hAnsi="Tahoma" w:cs="Tahoma"/>
          <w:szCs w:val="24"/>
          <w:lang w:val="es-ES" w:eastAsia="es-MX"/>
        </w:rPr>
      </w:pPr>
      <w:r>
        <w:rPr>
          <w:noProof/>
          <w:lang w:val="en-US"/>
        </w:rPr>
        <w:drawing>
          <wp:anchor distT="0" distB="0" distL="114300" distR="114300" simplePos="0" relativeHeight="251691007" behindDoc="0" locked="0" layoutInCell="1" allowOverlap="1" wp14:anchorId="437D823C" wp14:editId="40FA0D37">
            <wp:simplePos x="0" y="0"/>
            <wp:positionH relativeFrom="column">
              <wp:posOffset>1358265</wp:posOffset>
            </wp:positionH>
            <wp:positionV relativeFrom="paragraph">
              <wp:posOffset>26670</wp:posOffset>
            </wp:positionV>
            <wp:extent cx="1990725" cy="2538730"/>
            <wp:effectExtent l="0" t="0" r="0" b="0"/>
            <wp:wrapNone/>
            <wp:docPr id="50" name="Imagen 50" descr="mapa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municipios.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ackgroundRemoval t="0" b="96154" l="0" r="100000"/>
                              </a14:imgEffect>
                            </a14:imgLayer>
                          </a14:imgProps>
                        </a:ext>
                        <a:ext uri="{28A0092B-C50C-407E-A947-70E740481C1C}">
                          <a14:useLocalDpi xmlns:a14="http://schemas.microsoft.com/office/drawing/2010/main" val="0"/>
                        </a:ext>
                      </a:extLst>
                    </a:blip>
                    <a:srcRect l="10301"/>
                    <a:stretch/>
                  </pic:blipFill>
                  <pic:spPr bwMode="auto">
                    <a:xfrm>
                      <a:off x="0" y="0"/>
                      <a:ext cx="1990725" cy="253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DD3B6B" w:rsidRDefault="00DD3B6B" w:rsidP="00573B70">
      <w:pPr>
        <w:pStyle w:val="ListParagraph"/>
        <w:ind w:left="1428"/>
        <w:jc w:val="both"/>
        <w:rPr>
          <w:rFonts w:ascii="Tahoma" w:hAnsi="Tahoma" w:cs="Tahoma"/>
          <w:szCs w:val="24"/>
          <w:lang w:val="es-ES" w:eastAsia="es-MX"/>
        </w:rPr>
      </w:pPr>
    </w:p>
    <w:p w:rsidR="00027D8B" w:rsidRDefault="00027D8B" w:rsidP="00573B70">
      <w:pPr>
        <w:pStyle w:val="ListParagraph"/>
        <w:ind w:left="1428"/>
        <w:jc w:val="both"/>
        <w:rPr>
          <w:rFonts w:ascii="Tahoma" w:hAnsi="Tahoma" w:cs="Tahoma"/>
          <w:szCs w:val="24"/>
          <w:lang w:val="es-ES" w:eastAsia="es-MX"/>
        </w:rPr>
      </w:pPr>
      <w:r>
        <w:rPr>
          <w:rFonts w:ascii="Tahoma" w:hAnsi="Tahoma" w:cs="Tahoma"/>
          <w:szCs w:val="24"/>
          <w:lang w:val="es-ES" w:eastAsia="es-MX"/>
        </w:rPr>
        <w:br w:type="page"/>
      </w:r>
    </w:p>
    <w:p w:rsidR="00C900B5" w:rsidRDefault="00C900B5" w:rsidP="00573B70">
      <w:pPr>
        <w:pStyle w:val="ListParagraph"/>
        <w:ind w:left="1428"/>
        <w:jc w:val="both"/>
        <w:rPr>
          <w:rFonts w:ascii="Tahoma" w:hAnsi="Tahoma" w:cs="Tahoma"/>
          <w:szCs w:val="24"/>
          <w:lang w:val="es-ES" w:eastAsia="es-MX"/>
        </w:rPr>
      </w:pPr>
    </w:p>
    <w:p w:rsidR="00C900B5" w:rsidRPr="00C900B5" w:rsidRDefault="00B7561A" w:rsidP="00C900B5">
      <w:pPr>
        <w:pStyle w:val="Heading1"/>
        <w:rPr>
          <w:rFonts w:ascii="Maiandra GD" w:hAnsi="Maiandra GD"/>
          <w:color w:val="943634" w:themeColor="accent2" w:themeShade="BF"/>
          <w:sz w:val="32"/>
          <w:szCs w:val="32"/>
          <w:lang w:val="es-ES" w:eastAsia="es-MX"/>
        </w:rPr>
      </w:pPr>
      <w:bookmarkStart w:id="15" w:name="_Toc520556944"/>
      <w:r w:rsidRPr="00C900B5">
        <w:rPr>
          <w:rFonts w:ascii="Maiandra GD" w:hAnsi="Maiandra GD"/>
          <w:color w:val="943634" w:themeColor="accent2" w:themeShade="BF"/>
          <w:sz w:val="32"/>
          <w:szCs w:val="32"/>
          <w:lang w:val="es-ES" w:eastAsia="es-MX"/>
        </w:rPr>
        <w:t>ANÁLISIS DE LA COBERTURA</w:t>
      </w:r>
      <w:bookmarkEnd w:id="15"/>
    </w:p>
    <w:p w:rsidR="00C900B5" w:rsidRDefault="00C900B5" w:rsidP="00C900B5">
      <w:pPr>
        <w:spacing w:after="480" w:line="480" w:lineRule="auto"/>
        <w:jc w:val="both"/>
        <w:rPr>
          <w:rFonts w:ascii="Tahoma" w:hAnsi="Tahoma" w:cs="Tahoma"/>
          <w:sz w:val="24"/>
          <w:szCs w:val="24"/>
        </w:rPr>
      </w:pPr>
      <w:r w:rsidRPr="00C900B5">
        <w:rPr>
          <w:rFonts w:ascii="Tahoma" w:hAnsi="Tahoma" w:cs="Tahoma"/>
          <w:sz w:val="24"/>
          <w:szCs w:val="24"/>
        </w:rPr>
        <w:t>El Ramo 28 del presupuesto de Egresos de la Federación, consiste en las Participaciones</w:t>
      </w:r>
      <w:r>
        <w:rPr>
          <w:rFonts w:ascii="Tahoma" w:hAnsi="Tahoma" w:cs="Tahoma"/>
          <w:sz w:val="24"/>
          <w:szCs w:val="24"/>
        </w:rPr>
        <w:t xml:space="preserve"> </w:t>
      </w:r>
      <w:r w:rsidRPr="00C900B5">
        <w:rPr>
          <w:rFonts w:ascii="Tahoma" w:hAnsi="Tahoma" w:cs="Tahoma"/>
          <w:sz w:val="24"/>
          <w:szCs w:val="24"/>
        </w:rPr>
        <w:t>Federales a Entidades Federativas. Estos recursos compensan la aportación con un criterio</w:t>
      </w:r>
      <w:r>
        <w:rPr>
          <w:rFonts w:ascii="Tahoma" w:hAnsi="Tahoma" w:cs="Tahoma"/>
          <w:sz w:val="24"/>
          <w:szCs w:val="24"/>
        </w:rPr>
        <w:t xml:space="preserve"> </w:t>
      </w:r>
      <w:r w:rsidRPr="00C900B5">
        <w:rPr>
          <w:rFonts w:ascii="Tahoma" w:hAnsi="Tahoma" w:cs="Tahoma"/>
          <w:sz w:val="24"/>
          <w:szCs w:val="24"/>
        </w:rPr>
        <w:t>resarcitorio a las entidades y sus municipios. Su magnitud depende del aporte al PIB estatal,</w:t>
      </w:r>
      <w:r>
        <w:rPr>
          <w:rFonts w:ascii="Tahoma" w:hAnsi="Tahoma" w:cs="Tahoma"/>
          <w:sz w:val="24"/>
          <w:szCs w:val="24"/>
        </w:rPr>
        <w:t xml:space="preserve"> </w:t>
      </w:r>
      <w:r w:rsidRPr="00C900B5">
        <w:rPr>
          <w:rFonts w:ascii="Tahoma" w:hAnsi="Tahoma" w:cs="Tahoma"/>
          <w:sz w:val="24"/>
          <w:szCs w:val="24"/>
        </w:rPr>
        <w:t>la recaudación anual previa, el tamaño de la población, entre las principales variables de la</w:t>
      </w:r>
      <w:r>
        <w:rPr>
          <w:rFonts w:ascii="Tahoma" w:hAnsi="Tahoma" w:cs="Tahoma"/>
          <w:sz w:val="24"/>
          <w:szCs w:val="24"/>
        </w:rPr>
        <w:t xml:space="preserve"> </w:t>
      </w:r>
      <w:r w:rsidRPr="00C900B5">
        <w:rPr>
          <w:rFonts w:ascii="Tahoma" w:hAnsi="Tahoma" w:cs="Tahoma"/>
          <w:sz w:val="24"/>
          <w:szCs w:val="24"/>
        </w:rPr>
        <w:t>fórmula de asignación</w:t>
      </w:r>
      <w:r>
        <w:rPr>
          <w:rFonts w:ascii="Tahoma" w:hAnsi="Tahoma" w:cs="Tahoma"/>
          <w:sz w:val="24"/>
          <w:szCs w:val="24"/>
        </w:rPr>
        <w:t>.</w:t>
      </w:r>
    </w:p>
    <w:p w:rsidR="00C900B5" w:rsidRPr="00C900B5" w:rsidRDefault="00C900B5" w:rsidP="00C900B5">
      <w:pPr>
        <w:spacing w:after="480" w:line="480" w:lineRule="auto"/>
        <w:jc w:val="both"/>
        <w:rPr>
          <w:rFonts w:ascii="Tahoma" w:hAnsi="Tahoma" w:cs="Tahoma"/>
          <w:sz w:val="24"/>
          <w:szCs w:val="24"/>
        </w:rPr>
      </w:pPr>
      <w:r>
        <w:rPr>
          <w:rFonts w:ascii="Tahoma" w:hAnsi="Tahoma" w:cs="Tahoma"/>
          <w:sz w:val="24"/>
          <w:szCs w:val="24"/>
        </w:rPr>
        <w:t>En todos los casos la distribución de</w:t>
      </w:r>
      <w:r w:rsidR="00577205">
        <w:rPr>
          <w:rFonts w:ascii="Tahoma" w:hAnsi="Tahoma" w:cs="Tahoma"/>
          <w:sz w:val="24"/>
          <w:szCs w:val="24"/>
        </w:rPr>
        <w:t>l total</w:t>
      </w:r>
      <w:r>
        <w:rPr>
          <w:rFonts w:ascii="Tahoma" w:hAnsi="Tahoma" w:cs="Tahoma"/>
          <w:sz w:val="24"/>
          <w:szCs w:val="24"/>
        </w:rPr>
        <w:t xml:space="preserve"> los Fondos e Ingresos Participables</w:t>
      </w:r>
      <w:r w:rsidR="00577205">
        <w:rPr>
          <w:rFonts w:ascii="Tahoma" w:hAnsi="Tahoma" w:cs="Tahoma"/>
          <w:sz w:val="24"/>
          <w:szCs w:val="24"/>
        </w:rPr>
        <w:t xml:space="preserve"> de acuerdo a las fórmulas de distribución</w:t>
      </w:r>
      <w:r>
        <w:rPr>
          <w:rFonts w:ascii="Tahoma" w:hAnsi="Tahoma" w:cs="Tahoma"/>
          <w:sz w:val="24"/>
          <w:szCs w:val="24"/>
        </w:rPr>
        <w:t xml:space="preserve"> corresponde a:</w:t>
      </w:r>
    </w:p>
    <w:p w:rsidR="00DD53BA" w:rsidRDefault="00C900B5" w:rsidP="00DD53BA">
      <w:pPr>
        <w:spacing w:after="0" w:line="240" w:lineRule="auto"/>
        <w:jc w:val="both"/>
        <w:rPr>
          <w:rFonts w:ascii="Tahoma" w:hAnsi="Tahoma" w:cs="Tahoma"/>
          <w:sz w:val="24"/>
          <w:szCs w:val="24"/>
        </w:rPr>
      </w:pPr>
      <w:r>
        <w:rPr>
          <w:noProof/>
          <w:lang w:val="en-US"/>
        </w:rPr>
        <w:drawing>
          <wp:inline distT="0" distB="0" distL="0" distR="0" wp14:anchorId="5DFDE298" wp14:editId="1CD48C14">
            <wp:extent cx="5610225" cy="3114675"/>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DD53BA" w:rsidRPr="00DD53BA">
        <w:rPr>
          <w:rFonts w:ascii="Tahoma" w:hAnsi="Tahoma" w:cs="Tahoma"/>
          <w:sz w:val="20"/>
        </w:rPr>
        <w:t xml:space="preserve"> </w:t>
      </w:r>
      <w:r w:rsidR="00DD53BA">
        <w:rPr>
          <w:rFonts w:ascii="Tahoma" w:hAnsi="Tahoma" w:cs="Tahoma"/>
          <w:sz w:val="20"/>
        </w:rPr>
        <w:t>Fuente: Elaboración propia con información de: Programa Operativo Anual, Ramo 28-Estatal Desarrollo Municipal, del Gobierno del Estado de Baja California, al Cierre del ejercicio 2017.</w:t>
      </w:r>
    </w:p>
    <w:p w:rsidR="00DD53BA" w:rsidRPr="00C900B5" w:rsidRDefault="00DD53BA" w:rsidP="00C900B5">
      <w:pPr>
        <w:spacing w:after="480" w:line="480" w:lineRule="auto"/>
        <w:jc w:val="both"/>
        <w:rPr>
          <w:rFonts w:ascii="Tahoma" w:hAnsi="Tahoma" w:cs="Tahoma"/>
          <w:sz w:val="24"/>
          <w:szCs w:val="24"/>
        </w:rPr>
      </w:pPr>
    </w:p>
    <w:p w:rsidR="00C900B5" w:rsidRDefault="00C900B5" w:rsidP="00C900B5">
      <w:pPr>
        <w:spacing w:after="480" w:line="480" w:lineRule="auto"/>
        <w:jc w:val="both"/>
        <w:rPr>
          <w:rFonts w:ascii="Tahoma" w:hAnsi="Tahoma" w:cs="Tahoma"/>
          <w:sz w:val="24"/>
          <w:szCs w:val="24"/>
        </w:rPr>
      </w:pPr>
      <w:r w:rsidRPr="00C900B5">
        <w:rPr>
          <w:rFonts w:ascii="Tahoma" w:hAnsi="Tahoma" w:cs="Tahoma"/>
          <w:sz w:val="24"/>
          <w:szCs w:val="24"/>
        </w:rPr>
        <w:t>El Acuerdo mediante el cual se dan a conocer los montos recibidos por los rubros de las</w:t>
      </w:r>
      <w:r>
        <w:rPr>
          <w:rFonts w:ascii="Tahoma" w:hAnsi="Tahoma" w:cs="Tahoma"/>
          <w:sz w:val="24"/>
          <w:szCs w:val="24"/>
        </w:rPr>
        <w:t xml:space="preserve"> </w:t>
      </w:r>
      <w:r w:rsidRPr="00C900B5">
        <w:rPr>
          <w:rFonts w:ascii="Tahoma" w:hAnsi="Tahoma" w:cs="Tahoma"/>
          <w:sz w:val="24"/>
          <w:szCs w:val="24"/>
        </w:rPr>
        <w:t>Participaciones Federales a Entidades Federativas en Baja California, para el ejercicio 201</w:t>
      </w:r>
      <w:r>
        <w:rPr>
          <w:rFonts w:ascii="Tahoma" w:hAnsi="Tahoma" w:cs="Tahoma"/>
          <w:sz w:val="24"/>
          <w:szCs w:val="24"/>
        </w:rPr>
        <w:t>7</w:t>
      </w:r>
      <w:r w:rsidRPr="00C900B5">
        <w:rPr>
          <w:rFonts w:ascii="Tahoma" w:hAnsi="Tahoma" w:cs="Tahoma"/>
          <w:sz w:val="24"/>
          <w:szCs w:val="24"/>
        </w:rPr>
        <w:t>,</w:t>
      </w:r>
      <w:r>
        <w:rPr>
          <w:rFonts w:ascii="Tahoma" w:hAnsi="Tahoma" w:cs="Tahoma"/>
          <w:sz w:val="24"/>
          <w:szCs w:val="24"/>
        </w:rPr>
        <w:t xml:space="preserve"> </w:t>
      </w:r>
      <w:r w:rsidRPr="00C900B5">
        <w:rPr>
          <w:rFonts w:ascii="Tahoma" w:hAnsi="Tahoma" w:cs="Tahoma"/>
          <w:sz w:val="24"/>
          <w:szCs w:val="24"/>
        </w:rPr>
        <w:t xml:space="preserve">establece que el total de estos recursos se distribuyan en todos </w:t>
      </w:r>
      <w:r w:rsidR="00577205" w:rsidRPr="00C900B5">
        <w:rPr>
          <w:rFonts w:ascii="Tahoma" w:hAnsi="Tahoma" w:cs="Tahoma"/>
          <w:sz w:val="24"/>
          <w:szCs w:val="24"/>
        </w:rPr>
        <w:t xml:space="preserve">los </w:t>
      </w:r>
      <w:r w:rsidR="00577205">
        <w:rPr>
          <w:rFonts w:ascii="Tahoma" w:hAnsi="Tahoma" w:cs="Tahoma"/>
          <w:sz w:val="24"/>
          <w:szCs w:val="24"/>
        </w:rPr>
        <w:t>municipios</w:t>
      </w:r>
      <w:r w:rsidRPr="00C900B5">
        <w:rPr>
          <w:rFonts w:ascii="Tahoma" w:hAnsi="Tahoma" w:cs="Tahoma"/>
          <w:sz w:val="24"/>
          <w:szCs w:val="24"/>
        </w:rPr>
        <w:t xml:space="preserve"> de la entidad,</w:t>
      </w:r>
      <w:r>
        <w:rPr>
          <w:rFonts w:ascii="Tahoma" w:hAnsi="Tahoma" w:cs="Tahoma"/>
          <w:sz w:val="24"/>
          <w:szCs w:val="24"/>
        </w:rPr>
        <w:t xml:space="preserve"> </w:t>
      </w:r>
      <w:r w:rsidRPr="00C900B5">
        <w:rPr>
          <w:rFonts w:ascii="Tahoma" w:hAnsi="Tahoma" w:cs="Tahoma"/>
          <w:sz w:val="24"/>
          <w:szCs w:val="24"/>
        </w:rPr>
        <w:t>en el entendido de que derivando de las participaciones y contribuciones ciudadanas y de</w:t>
      </w:r>
      <w:r>
        <w:rPr>
          <w:rFonts w:ascii="Tahoma" w:hAnsi="Tahoma" w:cs="Tahoma"/>
          <w:sz w:val="24"/>
          <w:szCs w:val="24"/>
        </w:rPr>
        <w:t xml:space="preserve"> </w:t>
      </w:r>
      <w:r w:rsidRPr="00C900B5">
        <w:rPr>
          <w:rFonts w:ascii="Tahoma" w:hAnsi="Tahoma" w:cs="Tahoma"/>
          <w:sz w:val="24"/>
          <w:szCs w:val="24"/>
        </w:rPr>
        <w:t>recaudación en general, los beneficiarios directos deben ser cada uno de los contribuyentes</w:t>
      </w:r>
      <w:r>
        <w:rPr>
          <w:rFonts w:ascii="Tahoma" w:hAnsi="Tahoma" w:cs="Tahoma"/>
          <w:sz w:val="24"/>
          <w:szCs w:val="24"/>
        </w:rPr>
        <w:t xml:space="preserve"> </w:t>
      </w:r>
      <w:r w:rsidRPr="00C900B5">
        <w:rPr>
          <w:rFonts w:ascii="Tahoma" w:hAnsi="Tahoma" w:cs="Tahoma"/>
          <w:sz w:val="24"/>
          <w:szCs w:val="24"/>
        </w:rPr>
        <w:t>y sus familias en primer lugar.</w:t>
      </w:r>
    </w:p>
    <w:p w:rsidR="00C900B5" w:rsidRDefault="00C900B5" w:rsidP="00C900B5">
      <w:pPr>
        <w:spacing w:after="480" w:line="480" w:lineRule="auto"/>
        <w:jc w:val="both"/>
        <w:rPr>
          <w:rFonts w:ascii="Tahoma" w:hAnsi="Tahoma" w:cs="Tahoma"/>
          <w:sz w:val="24"/>
          <w:szCs w:val="24"/>
        </w:rPr>
      </w:pPr>
      <w:r w:rsidRPr="00C900B5">
        <w:rPr>
          <w:rFonts w:ascii="Tahoma" w:hAnsi="Tahoma" w:cs="Tahoma"/>
          <w:sz w:val="24"/>
          <w:szCs w:val="24"/>
        </w:rPr>
        <w:t>A nivel de municipio, la distribución de recursos se realiza de la siguiente forma según el</w:t>
      </w:r>
      <w:r>
        <w:rPr>
          <w:rFonts w:ascii="Tahoma" w:hAnsi="Tahoma" w:cs="Tahoma"/>
          <w:sz w:val="24"/>
          <w:szCs w:val="24"/>
        </w:rPr>
        <w:t xml:space="preserve"> </w:t>
      </w:r>
      <w:r w:rsidRPr="00C900B5">
        <w:rPr>
          <w:rFonts w:ascii="Tahoma" w:hAnsi="Tahoma" w:cs="Tahoma"/>
          <w:sz w:val="24"/>
          <w:szCs w:val="24"/>
        </w:rPr>
        <w:t>fondo del Ramo 28 Participaciones Federales a Entidades Federativas, donde el municipio</w:t>
      </w:r>
      <w:r>
        <w:rPr>
          <w:rFonts w:ascii="Tahoma" w:hAnsi="Tahoma" w:cs="Tahoma"/>
          <w:sz w:val="24"/>
          <w:szCs w:val="24"/>
        </w:rPr>
        <w:t xml:space="preserve"> </w:t>
      </w:r>
      <w:r w:rsidRPr="00C900B5">
        <w:rPr>
          <w:rFonts w:ascii="Tahoma" w:hAnsi="Tahoma" w:cs="Tahoma"/>
          <w:sz w:val="24"/>
          <w:szCs w:val="24"/>
        </w:rPr>
        <w:t>de Tijuana y Mexicali ocupan los primeros lugares en todos los recursos</w:t>
      </w:r>
      <w:r>
        <w:rPr>
          <w:rFonts w:ascii="Tahoma" w:hAnsi="Tahoma" w:cs="Tahoma"/>
          <w:sz w:val="24"/>
          <w:szCs w:val="24"/>
        </w:rPr>
        <w:t>.</w:t>
      </w:r>
    </w:p>
    <w:p w:rsidR="001909FB" w:rsidRDefault="001909FB" w:rsidP="00C900B5">
      <w:pPr>
        <w:spacing w:after="480" w:line="480" w:lineRule="auto"/>
        <w:jc w:val="both"/>
        <w:rPr>
          <w:rFonts w:ascii="Tahoma" w:hAnsi="Tahoma" w:cs="Tahoma"/>
          <w:sz w:val="24"/>
          <w:szCs w:val="24"/>
        </w:rPr>
        <w:sectPr w:rsidR="001909FB" w:rsidSect="00385418">
          <w:headerReference w:type="default" r:id="rId37"/>
          <w:footerReference w:type="default" r:id="rId38"/>
          <w:footerReference w:type="first" r:id="rId39"/>
          <w:type w:val="continuous"/>
          <w:pgSz w:w="12240" w:h="15840"/>
          <w:pgMar w:top="1417" w:right="1701" w:bottom="1417" w:left="1701" w:header="708" w:footer="708" w:gutter="0"/>
          <w:cols w:space="708"/>
          <w:titlePg/>
          <w:docGrid w:linePitch="360"/>
        </w:sectPr>
      </w:pPr>
    </w:p>
    <w:tbl>
      <w:tblPr>
        <w:tblStyle w:val="Tabladecuadrcula4-nfasis21"/>
        <w:tblW w:w="4355" w:type="dxa"/>
        <w:tblLook w:val="04A0" w:firstRow="1" w:lastRow="0" w:firstColumn="1" w:lastColumn="0" w:noHBand="0" w:noVBand="1"/>
      </w:tblPr>
      <w:tblGrid>
        <w:gridCol w:w="2454"/>
        <w:gridCol w:w="1901"/>
      </w:tblGrid>
      <w:tr w:rsidR="00512EF2" w:rsidRPr="00512EF2" w:rsidTr="001909FB">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4355" w:type="dxa"/>
            <w:gridSpan w:val="2"/>
            <w:vAlign w:val="center"/>
            <w:hideMark/>
          </w:tcPr>
          <w:p w:rsidR="00577205" w:rsidRPr="00512EF2" w:rsidRDefault="00577205" w:rsidP="00577205">
            <w:pPr>
              <w:jc w:val="center"/>
              <w:rPr>
                <w:rFonts w:ascii="Calibri" w:eastAsia="Times New Roman" w:hAnsi="Calibri" w:cs="Times New Roman"/>
                <w:b w:val="0"/>
                <w:bCs w:val="0"/>
                <w:lang w:eastAsia="es-MX"/>
              </w:rPr>
            </w:pPr>
            <w:r w:rsidRPr="00512EF2">
              <w:rPr>
                <w:rFonts w:ascii="Calibri" w:eastAsia="Times New Roman" w:hAnsi="Calibri" w:cs="Times New Roman"/>
                <w:lang w:eastAsia="es-MX"/>
              </w:rPr>
              <w:t xml:space="preserve">FONDO GENERAL DE PARTICIPACIONES </w:t>
            </w:r>
            <w:r w:rsidRPr="00512EF2">
              <w:rPr>
                <w:rFonts w:ascii="Calibri" w:eastAsia="Times New Roman" w:hAnsi="Calibri" w:cs="Times New Roman"/>
                <w:lang w:eastAsia="es-MX"/>
              </w:rPr>
              <w:br/>
              <w:t>miles de pesos</w:t>
            </w:r>
          </w:p>
        </w:tc>
      </w:tr>
      <w:tr w:rsidR="00577205" w:rsidRPr="00577205" w:rsidTr="008F6FAE">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454" w:type="dxa"/>
            <w:noWrap/>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MUNICIPIO</w:t>
            </w:r>
          </w:p>
        </w:tc>
        <w:tc>
          <w:tcPr>
            <w:tcW w:w="1901" w:type="dxa"/>
            <w:noWrap/>
            <w:vAlign w:val="center"/>
            <w:hideMark/>
          </w:tcPr>
          <w:p w:rsidR="00577205" w:rsidRPr="00577205" w:rsidRDefault="00577205" w:rsidP="005772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MONTO</w:t>
            </w:r>
          </w:p>
        </w:tc>
      </w:tr>
      <w:tr w:rsidR="00577205" w:rsidRPr="00577205" w:rsidTr="008F6FAE">
        <w:trPr>
          <w:trHeight w:val="516"/>
        </w:trPr>
        <w:tc>
          <w:tcPr>
            <w:cnfStyle w:val="001000000000" w:firstRow="0" w:lastRow="0" w:firstColumn="1" w:lastColumn="0" w:oddVBand="0" w:evenVBand="0" w:oddHBand="0" w:evenHBand="0" w:firstRowFirstColumn="0" w:firstRowLastColumn="0" w:lastRowFirstColumn="0" w:lastRowLastColumn="0"/>
            <w:tcW w:w="2454" w:type="dxa"/>
            <w:noWrap/>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Mexicali</w:t>
            </w:r>
          </w:p>
        </w:tc>
        <w:tc>
          <w:tcPr>
            <w:tcW w:w="1901" w:type="dxa"/>
            <w:noWrap/>
            <w:vAlign w:val="center"/>
            <w:hideMark/>
          </w:tcPr>
          <w:p w:rsidR="00577205" w:rsidRPr="00577205" w:rsidRDefault="00577205" w:rsidP="0057720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886,324</w:t>
            </w:r>
          </w:p>
        </w:tc>
      </w:tr>
      <w:tr w:rsidR="00577205" w:rsidRPr="00577205" w:rsidTr="008F6FAE">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454" w:type="dxa"/>
            <w:noWrap/>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Tijuana</w:t>
            </w:r>
          </w:p>
        </w:tc>
        <w:tc>
          <w:tcPr>
            <w:tcW w:w="1901" w:type="dxa"/>
            <w:noWrap/>
            <w:vAlign w:val="center"/>
            <w:hideMark/>
          </w:tcPr>
          <w:p w:rsidR="00577205" w:rsidRPr="00577205" w:rsidRDefault="00577205" w:rsidP="005772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1,514,465</w:t>
            </w:r>
          </w:p>
        </w:tc>
      </w:tr>
      <w:tr w:rsidR="00577205" w:rsidRPr="00577205" w:rsidTr="008F6FAE">
        <w:trPr>
          <w:trHeight w:val="516"/>
        </w:trPr>
        <w:tc>
          <w:tcPr>
            <w:cnfStyle w:val="001000000000" w:firstRow="0" w:lastRow="0" w:firstColumn="1" w:lastColumn="0" w:oddVBand="0" w:evenVBand="0" w:oddHBand="0" w:evenHBand="0" w:firstRowFirstColumn="0" w:firstRowLastColumn="0" w:lastRowFirstColumn="0" w:lastRowLastColumn="0"/>
            <w:tcW w:w="2454" w:type="dxa"/>
            <w:noWrap/>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Ensenada</w:t>
            </w:r>
          </w:p>
        </w:tc>
        <w:tc>
          <w:tcPr>
            <w:tcW w:w="1901" w:type="dxa"/>
            <w:noWrap/>
            <w:vAlign w:val="center"/>
            <w:hideMark/>
          </w:tcPr>
          <w:p w:rsidR="00577205" w:rsidRPr="00577205" w:rsidRDefault="00577205" w:rsidP="0057720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314,431</w:t>
            </w:r>
          </w:p>
        </w:tc>
      </w:tr>
      <w:tr w:rsidR="00577205" w:rsidRPr="00577205" w:rsidTr="008F6FAE">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454" w:type="dxa"/>
            <w:noWrap/>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Tecate</w:t>
            </w:r>
          </w:p>
        </w:tc>
        <w:tc>
          <w:tcPr>
            <w:tcW w:w="1901" w:type="dxa"/>
            <w:noWrap/>
            <w:vAlign w:val="center"/>
            <w:hideMark/>
          </w:tcPr>
          <w:p w:rsidR="00577205" w:rsidRPr="00577205" w:rsidRDefault="00577205" w:rsidP="005772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113,942</w:t>
            </w:r>
          </w:p>
        </w:tc>
      </w:tr>
      <w:tr w:rsidR="00577205" w:rsidRPr="00577205" w:rsidTr="008F6FAE">
        <w:trPr>
          <w:trHeight w:val="516"/>
        </w:trPr>
        <w:tc>
          <w:tcPr>
            <w:cnfStyle w:val="001000000000" w:firstRow="0" w:lastRow="0" w:firstColumn="1" w:lastColumn="0" w:oddVBand="0" w:evenVBand="0" w:oddHBand="0" w:evenHBand="0" w:firstRowFirstColumn="0" w:firstRowLastColumn="0" w:lastRowFirstColumn="0" w:lastRowLastColumn="0"/>
            <w:tcW w:w="2454" w:type="dxa"/>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Playas de Rosarito</w:t>
            </w:r>
          </w:p>
        </w:tc>
        <w:tc>
          <w:tcPr>
            <w:tcW w:w="1901" w:type="dxa"/>
            <w:noWrap/>
            <w:vAlign w:val="center"/>
            <w:hideMark/>
          </w:tcPr>
          <w:p w:rsidR="00577205" w:rsidRPr="00577205" w:rsidRDefault="00577205" w:rsidP="0057720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125,379</w:t>
            </w:r>
          </w:p>
        </w:tc>
      </w:tr>
      <w:tr w:rsidR="00577205" w:rsidRPr="00577205" w:rsidTr="008F6FAE">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454" w:type="dxa"/>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TOTAL</w:t>
            </w:r>
          </w:p>
        </w:tc>
        <w:tc>
          <w:tcPr>
            <w:tcW w:w="1901" w:type="dxa"/>
            <w:noWrap/>
            <w:vAlign w:val="center"/>
            <w:hideMark/>
          </w:tcPr>
          <w:p w:rsidR="00577205" w:rsidRPr="00577205" w:rsidRDefault="00577205" w:rsidP="005772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2,954,541</w:t>
            </w:r>
          </w:p>
        </w:tc>
      </w:tr>
    </w:tbl>
    <w:p w:rsidR="00DD53BA" w:rsidRDefault="00DD53BA" w:rsidP="00DD53BA">
      <w:pPr>
        <w:spacing w:after="0" w:line="240" w:lineRule="auto"/>
        <w:jc w:val="both"/>
        <w:rPr>
          <w:rFonts w:ascii="Tahoma" w:hAnsi="Tahoma" w:cs="Tahoma"/>
          <w:sz w:val="24"/>
          <w:szCs w:val="24"/>
        </w:rPr>
      </w:pPr>
      <w:r>
        <w:rPr>
          <w:rFonts w:ascii="Tahoma" w:hAnsi="Tahoma" w:cs="Tahoma"/>
          <w:sz w:val="20"/>
        </w:rPr>
        <w:t>Fuente: Elaboración propia con información de: Programa Operativo Anual, Ramo 28-Estatal Desarrollo Municipal, del Gobierno del Estado de Baja California, al Cierre del ejercicio 2017.</w:t>
      </w:r>
    </w:p>
    <w:tbl>
      <w:tblPr>
        <w:tblStyle w:val="Tabladecuadrcula4-nfasis21"/>
        <w:tblW w:w="4206" w:type="dxa"/>
        <w:tblLook w:val="04A0" w:firstRow="1" w:lastRow="0" w:firstColumn="1" w:lastColumn="0" w:noHBand="0" w:noVBand="1"/>
      </w:tblPr>
      <w:tblGrid>
        <w:gridCol w:w="2370"/>
        <w:gridCol w:w="1836"/>
      </w:tblGrid>
      <w:tr w:rsidR="00577205" w:rsidRPr="00577205" w:rsidTr="001909FB">
        <w:trPr>
          <w:cnfStyle w:val="100000000000" w:firstRow="1" w:lastRow="0" w:firstColumn="0" w:lastColumn="0" w:oddVBand="0" w:evenVBand="0" w:oddHBand="0"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4206" w:type="dxa"/>
            <w:gridSpan w:val="2"/>
            <w:vAlign w:val="center"/>
            <w:hideMark/>
          </w:tcPr>
          <w:p w:rsidR="00577205" w:rsidRPr="00512EF2" w:rsidRDefault="00577205" w:rsidP="00577205">
            <w:pPr>
              <w:jc w:val="center"/>
              <w:rPr>
                <w:rFonts w:ascii="Calibri" w:eastAsia="Times New Roman" w:hAnsi="Calibri" w:cs="Times New Roman"/>
                <w:lang w:eastAsia="es-MX"/>
              </w:rPr>
            </w:pPr>
            <w:r w:rsidRPr="00512EF2">
              <w:rPr>
                <w:rFonts w:ascii="Calibri" w:eastAsia="Times New Roman" w:hAnsi="Calibri" w:cs="Times New Roman"/>
                <w:lang w:eastAsia="es-MX"/>
              </w:rPr>
              <w:t xml:space="preserve">FONDO DE FOMENTO MUNICIPAL </w:t>
            </w:r>
          </w:p>
          <w:p w:rsidR="00577205" w:rsidRPr="00577205" w:rsidRDefault="00577205" w:rsidP="00577205">
            <w:pPr>
              <w:jc w:val="center"/>
              <w:rPr>
                <w:rFonts w:ascii="Calibri" w:eastAsia="Times New Roman" w:hAnsi="Calibri" w:cs="Times New Roman"/>
                <w:b w:val="0"/>
                <w:bCs w:val="0"/>
                <w:color w:val="000000"/>
                <w:lang w:eastAsia="es-MX"/>
              </w:rPr>
            </w:pPr>
            <w:r w:rsidRPr="00512EF2">
              <w:rPr>
                <w:rFonts w:ascii="Calibri" w:eastAsia="Times New Roman" w:hAnsi="Calibri" w:cs="Times New Roman"/>
                <w:lang w:eastAsia="es-MX"/>
              </w:rPr>
              <w:t>miles de pesos</w:t>
            </w:r>
          </w:p>
        </w:tc>
      </w:tr>
      <w:tr w:rsidR="00577205" w:rsidRPr="00577205" w:rsidTr="008F6FAE">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rsidR="00577205" w:rsidRPr="00577205" w:rsidRDefault="00577205" w:rsidP="00B7561A">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MUNICIPIO</w:t>
            </w:r>
          </w:p>
        </w:tc>
        <w:tc>
          <w:tcPr>
            <w:tcW w:w="1836" w:type="dxa"/>
            <w:noWrap/>
            <w:vAlign w:val="center"/>
            <w:hideMark/>
          </w:tcPr>
          <w:p w:rsidR="00577205" w:rsidRPr="00577205" w:rsidRDefault="00577205" w:rsidP="00B7561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MONTO</w:t>
            </w:r>
          </w:p>
        </w:tc>
      </w:tr>
      <w:tr w:rsidR="00577205" w:rsidRPr="00577205" w:rsidTr="008F6FAE">
        <w:trPr>
          <w:trHeight w:val="511"/>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Mexicali</w:t>
            </w:r>
          </w:p>
        </w:tc>
        <w:tc>
          <w:tcPr>
            <w:tcW w:w="1836" w:type="dxa"/>
            <w:noWrap/>
            <w:vAlign w:val="center"/>
            <w:hideMark/>
          </w:tcPr>
          <w:p w:rsidR="00577205" w:rsidRPr="00B31C9A" w:rsidRDefault="00577205" w:rsidP="00577205">
            <w:pPr>
              <w:jc w:val="right"/>
              <w:cnfStyle w:val="000000000000" w:firstRow="0" w:lastRow="0" w:firstColumn="0" w:lastColumn="0" w:oddVBand="0" w:evenVBand="0" w:oddHBand="0" w:evenHBand="0" w:firstRowFirstColumn="0" w:firstRowLastColumn="0" w:lastRowFirstColumn="0" w:lastRowLastColumn="0"/>
            </w:pPr>
            <w:r w:rsidRPr="00B31C9A">
              <w:t>115,755</w:t>
            </w:r>
          </w:p>
        </w:tc>
      </w:tr>
      <w:tr w:rsidR="00577205" w:rsidRPr="00577205" w:rsidTr="008F6FAE">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Tijuana</w:t>
            </w:r>
          </w:p>
        </w:tc>
        <w:tc>
          <w:tcPr>
            <w:tcW w:w="1836" w:type="dxa"/>
            <w:noWrap/>
            <w:vAlign w:val="center"/>
            <w:hideMark/>
          </w:tcPr>
          <w:p w:rsidR="00577205" w:rsidRPr="00B31C9A" w:rsidRDefault="00577205" w:rsidP="00577205">
            <w:pPr>
              <w:jc w:val="right"/>
              <w:cnfStyle w:val="000000100000" w:firstRow="0" w:lastRow="0" w:firstColumn="0" w:lastColumn="0" w:oddVBand="0" w:evenVBand="0" w:oddHBand="1" w:evenHBand="0" w:firstRowFirstColumn="0" w:firstRowLastColumn="0" w:lastRowFirstColumn="0" w:lastRowLastColumn="0"/>
            </w:pPr>
            <w:r w:rsidRPr="00B31C9A">
              <w:t>216,809</w:t>
            </w:r>
          </w:p>
        </w:tc>
      </w:tr>
      <w:tr w:rsidR="00577205" w:rsidRPr="00577205" w:rsidTr="008F6FAE">
        <w:trPr>
          <w:trHeight w:val="511"/>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Ensenada</w:t>
            </w:r>
          </w:p>
        </w:tc>
        <w:tc>
          <w:tcPr>
            <w:tcW w:w="1836" w:type="dxa"/>
            <w:noWrap/>
            <w:vAlign w:val="center"/>
            <w:hideMark/>
          </w:tcPr>
          <w:p w:rsidR="00577205" w:rsidRPr="00B31C9A" w:rsidRDefault="00577205" w:rsidP="00577205">
            <w:pPr>
              <w:jc w:val="right"/>
              <w:cnfStyle w:val="000000000000" w:firstRow="0" w:lastRow="0" w:firstColumn="0" w:lastColumn="0" w:oddVBand="0" w:evenVBand="0" w:oddHBand="0" w:evenHBand="0" w:firstRowFirstColumn="0" w:firstRowLastColumn="0" w:lastRowFirstColumn="0" w:lastRowLastColumn="0"/>
            </w:pPr>
            <w:r w:rsidRPr="00B31C9A">
              <w:t>44,344</w:t>
            </w:r>
          </w:p>
        </w:tc>
      </w:tr>
      <w:tr w:rsidR="00577205" w:rsidRPr="00577205" w:rsidTr="008F6FAE">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Tecate</w:t>
            </w:r>
          </w:p>
        </w:tc>
        <w:tc>
          <w:tcPr>
            <w:tcW w:w="1836" w:type="dxa"/>
            <w:noWrap/>
            <w:vAlign w:val="center"/>
            <w:hideMark/>
          </w:tcPr>
          <w:p w:rsidR="00577205" w:rsidRPr="00B31C9A" w:rsidRDefault="00577205" w:rsidP="00577205">
            <w:pPr>
              <w:jc w:val="right"/>
              <w:cnfStyle w:val="000000100000" w:firstRow="0" w:lastRow="0" w:firstColumn="0" w:lastColumn="0" w:oddVBand="0" w:evenVBand="0" w:oddHBand="1" w:evenHBand="0" w:firstRowFirstColumn="0" w:firstRowLastColumn="0" w:lastRowFirstColumn="0" w:lastRowLastColumn="0"/>
            </w:pPr>
            <w:r w:rsidRPr="00B31C9A">
              <w:t>16,045</w:t>
            </w:r>
          </w:p>
        </w:tc>
      </w:tr>
      <w:tr w:rsidR="00577205" w:rsidRPr="00577205" w:rsidTr="008F6FAE">
        <w:trPr>
          <w:trHeight w:val="511"/>
        </w:trPr>
        <w:tc>
          <w:tcPr>
            <w:cnfStyle w:val="001000000000" w:firstRow="0" w:lastRow="0" w:firstColumn="1" w:lastColumn="0" w:oddVBand="0" w:evenVBand="0" w:oddHBand="0" w:evenHBand="0" w:firstRowFirstColumn="0" w:firstRowLastColumn="0" w:lastRowFirstColumn="0" w:lastRowLastColumn="0"/>
            <w:tcW w:w="2370" w:type="dxa"/>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Playas de Rosarito</w:t>
            </w:r>
          </w:p>
        </w:tc>
        <w:tc>
          <w:tcPr>
            <w:tcW w:w="1836" w:type="dxa"/>
            <w:noWrap/>
            <w:vAlign w:val="center"/>
            <w:hideMark/>
          </w:tcPr>
          <w:p w:rsidR="00577205" w:rsidRPr="00B31C9A" w:rsidRDefault="00577205" w:rsidP="00577205">
            <w:pPr>
              <w:jc w:val="right"/>
              <w:cnfStyle w:val="000000000000" w:firstRow="0" w:lastRow="0" w:firstColumn="0" w:lastColumn="0" w:oddVBand="0" w:evenVBand="0" w:oddHBand="0" w:evenHBand="0" w:firstRowFirstColumn="0" w:firstRowLastColumn="0" w:lastRowFirstColumn="0" w:lastRowLastColumn="0"/>
            </w:pPr>
            <w:r w:rsidRPr="00B31C9A">
              <w:t>16,045</w:t>
            </w:r>
          </w:p>
        </w:tc>
      </w:tr>
      <w:tr w:rsidR="00577205" w:rsidRPr="00577205" w:rsidTr="008F6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370" w:type="dxa"/>
            <w:vAlign w:val="center"/>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TOTAL</w:t>
            </w:r>
          </w:p>
        </w:tc>
        <w:tc>
          <w:tcPr>
            <w:tcW w:w="1836" w:type="dxa"/>
            <w:noWrap/>
            <w:vAlign w:val="center"/>
            <w:hideMark/>
          </w:tcPr>
          <w:p w:rsidR="00577205" w:rsidRDefault="00577205" w:rsidP="00577205">
            <w:pPr>
              <w:jc w:val="right"/>
              <w:cnfStyle w:val="000000100000" w:firstRow="0" w:lastRow="0" w:firstColumn="0" w:lastColumn="0" w:oddVBand="0" w:evenVBand="0" w:oddHBand="1" w:evenHBand="0" w:firstRowFirstColumn="0" w:firstRowLastColumn="0" w:lastRowFirstColumn="0" w:lastRowLastColumn="0"/>
            </w:pPr>
            <w:r w:rsidRPr="00B31C9A">
              <w:t>409,870</w:t>
            </w:r>
          </w:p>
        </w:tc>
      </w:tr>
    </w:tbl>
    <w:p w:rsidR="00DD53BA" w:rsidRDefault="00DD53BA" w:rsidP="00DD53BA">
      <w:pPr>
        <w:spacing w:after="0" w:line="240" w:lineRule="auto"/>
        <w:jc w:val="both"/>
        <w:rPr>
          <w:rFonts w:ascii="Tahoma" w:hAnsi="Tahoma" w:cs="Tahoma"/>
          <w:sz w:val="24"/>
          <w:szCs w:val="24"/>
        </w:rPr>
      </w:pPr>
      <w:r>
        <w:rPr>
          <w:rFonts w:ascii="Tahoma" w:hAnsi="Tahoma" w:cs="Tahoma"/>
          <w:sz w:val="20"/>
        </w:rPr>
        <w:t>Fuente: Elaboración propia con información de: Programa Operativo Anual, Ramo 28-Estatal Desarrollo Municipal, del Gobierno del Estado de Baja California, al Cierre del ejercicio 2017.</w:t>
      </w:r>
    </w:p>
    <w:tbl>
      <w:tblPr>
        <w:tblStyle w:val="Tabladecuadrcula4-nfasis21"/>
        <w:tblW w:w="4310" w:type="dxa"/>
        <w:tblLook w:val="04A0" w:firstRow="1" w:lastRow="0" w:firstColumn="1" w:lastColumn="0" w:noHBand="0" w:noVBand="1"/>
      </w:tblPr>
      <w:tblGrid>
        <w:gridCol w:w="2429"/>
        <w:gridCol w:w="1881"/>
      </w:tblGrid>
      <w:tr w:rsidR="00577205" w:rsidRPr="00577205" w:rsidTr="00512EF2">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310" w:type="dxa"/>
            <w:gridSpan w:val="2"/>
            <w:vAlign w:val="center"/>
            <w:hideMark/>
          </w:tcPr>
          <w:p w:rsidR="00577205" w:rsidRPr="00512EF2" w:rsidRDefault="00577205" w:rsidP="00512EF2">
            <w:pPr>
              <w:jc w:val="center"/>
              <w:rPr>
                <w:rFonts w:ascii="Calibri" w:eastAsia="Times New Roman" w:hAnsi="Calibri" w:cs="Times New Roman"/>
                <w:lang w:eastAsia="es-MX"/>
              </w:rPr>
            </w:pPr>
            <w:r w:rsidRPr="00512EF2">
              <w:rPr>
                <w:rFonts w:ascii="Calibri" w:eastAsia="Times New Roman" w:hAnsi="Calibri" w:cs="Times New Roman"/>
                <w:lang w:eastAsia="es-MX"/>
              </w:rPr>
              <w:t>FONDO DE FISCALIZACIÓN</w:t>
            </w:r>
          </w:p>
          <w:p w:rsidR="00577205" w:rsidRPr="00577205" w:rsidRDefault="00577205" w:rsidP="00512EF2">
            <w:pPr>
              <w:jc w:val="center"/>
              <w:rPr>
                <w:rFonts w:ascii="Calibri" w:eastAsia="Times New Roman" w:hAnsi="Calibri" w:cs="Times New Roman"/>
                <w:b w:val="0"/>
                <w:bCs w:val="0"/>
                <w:color w:val="000000"/>
                <w:lang w:eastAsia="es-MX"/>
              </w:rPr>
            </w:pPr>
            <w:r w:rsidRPr="00512EF2">
              <w:rPr>
                <w:rFonts w:ascii="Calibri" w:eastAsia="Times New Roman" w:hAnsi="Calibri" w:cs="Times New Roman"/>
                <w:lang w:eastAsia="es-MX"/>
              </w:rPr>
              <w:t>miles de pesos</w:t>
            </w:r>
          </w:p>
        </w:tc>
      </w:tr>
      <w:tr w:rsidR="00577205" w:rsidRPr="00577205" w:rsidTr="001909FB">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429" w:type="dxa"/>
            <w:noWrap/>
            <w:hideMark/>
          </w:tcPr>
          <w:p w:rsidR="00577205" w:rsidRPr="00577205" w:rsidRDefault="00577205" w:rsidP="00B7561A">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MUNICIPIO</w:t>
            </w:r>
          </w:p>
        </w:tc>
        <w:tc>
          <w:tcPr>
            <w:tcW w:w="1881" w:type="dxa"/>
            <w:noWrap/>
            <w:hideMark/>
          </w:tcPr>
          <w:p w:rsidR="00577205" w:rsidRPr="00577205" w:rsidRDefault="00577205" w:rsidP="00B7561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MONTO</w:t>
            </w:r>
          </w:p>
        </w:tc>
      </w:tr>
      <w:tr w:rsidR="00577205" w:rsidRPr="00577205" w:rsidTr="001909FB">
        <w:trPr>
          <w:trHeight w:val="508"/>
        </w:trPr>
        <w:tc>
          <w:tcPr>
            <w:cnfStyle w:val="001000000000" w:firstRow="0" w:lastRow="0" w:firstColumn="1" w:lastColumn="0" w:oddVBand="0" w:evenVBand="0" w:oddHBand="0" w:evenHBand="0" w:firstRowFirstColumn="0" w:firstRowLastColumn="0" w:lastRowFirstColumn="0" w:lastRowLastColumn="0"/>
            <w:tcW w:w="2429" w:type="dxa"/>
            <w:noWrap/>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Mexicali</w:t>
            </w:r>
          </w:p>
        </w:tc>
        <w:tc>
          <w:tcPr>
            <w:tcW w:w="1881" w:type="dxa"/>
            <w:noWrap/>
            <w:hideMark/>
          </w:tcPr>
          <w:p w:rsidR="00577205" w:rsidRPr="00A474E2" w:rsidRDefault="00577205" w:rsidP="00577205">
            <w:pPr>
              <w:jc w:val="right"/>
              <w:cnfStyle w:val="000000000000" w:firstRow="0" w:lastRow="0" w:firstColumn="0" w:lastColumn="0" w:oddVBand="0" w:evenVBand="0" w:oddHBand="0" w:evenHBand="0" w:firstRowFirstColumn="0" w:firstRowLastColumn="0" w:lastRowFirstColumn="0" w:lastRowLastColumn="0"/>
            </w:pPr>
            <w:r w:rsidRPr="00A474E2">
              <w:t>44,130</w:t>
            </w:r>
          </w:p>
        </w:tc>
      </w:tr>
      <w:tr w:rsidR="00577205" w:rsidRPr="00577205" w:rsidTr="001909FB">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429" w:type="dxa"/>
            <w:noWrap/>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Tijuana</w:t>
            </w:r>
          </w:p>
        </w:tc>
        <w:tc>
          <w:tcPr>
            <w:tcW w:w="1881" w:type="dxa"/>
            <w:noWrap/>
            <w:hideMark/>
          </w:tcPr>
          <w:p w:rsidR="00577205" w:rsidRPr="00A474E2" w:rsidRDefault="00577205" w:rsidP="00577205">
            <w:pPr>
              <w:jc w:val="right"/>
              <w:cnfStyle w:val="000000100000" w:firstRow="0" w:lastRow="0" w:firstColumn="0" w:lastColumn="0" w:oddVBand="0" w:evenVBand="0" w:oddHBand="1" w:evenHBand="0" w:firstRowFirstColumn="0" w:firstRowLastColumn="0" w:lastRowFirstColumn="0" w:lastRowLastColumn="0"/>
            </w:pPr>
            <w:r w:rsidRPr="00A474E2">
              <w:t>82,655</w:t>
            </w:r>
          </w:p>
        </w:tc>
      </w:tr>
      <w:tr w:rsidR="00577205" w:rsidRPr="00577205" w:rsidTr="001909FB">
        <w:trPr>
          <w:trHeight w:val="508"/>
        </w:trPr>
        <w:tc>
          <w:tcPr>
            <w:cnfStyle w:val="001000000000" w:firstRow="0" w:lastRow="0" w:firstColumn="1" w:lastColumn="0" w:oddVBand="0" w:evenVBand="0" w:oddHBand="0" w:evenHBand="0" w:firstRowFirstColumn="0" w:firstRowLastColumn="0" w:lastRowFirstColumn="0" w:lastRowLastColumn="0"/>
            <w:tcW w:w="2429" w:type="dxa"/>
            <w:noWrap/>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Ensenada</w:t>
            </w:r>
          </w:p>
        </w:tc>
        <w:tc>
          <w:tcPr>
            <w:tcW w:w="1881" w:type="dxa"/>
            <w:noWrap/>
            <w:hideMark/>
          </w:tcPr>
          <w:p w:rsidR="00577205" w:rsidRPr="00A474E2" w:rsidRDefault="00577205" w:rsidP="00577205">
            <w:pPr>
              <w:jc w:val="right"/>
              <w:cnfStyle w:val="000000000000" w:firstRow="0" w:lastRow="0" w:firstColumn="0" w:lastColumn="0" w:oddVBand="0" w:evenVBand="0" w:oddHBand="0" w:evenHBand="0" w:firstRowFirstColumn="0" w:firstRowLastColumn="0" w:lastRowFirstColumn="0" w:lastRowLastColumn="0"/>
            </w:pPr>
            <w:r w:rsidRPr="00A474E2">
              <w:t>16,905</w:t>
            </w:r>
          </w:p>
        </w:tc>
      </w:tr>
      <w:tr w:rsidR="00577205" w:rsidRPr="00577205" w:rsidTr="001909FB">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429" w:type="dxa"/>
            <w:noWrap/>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Tecate</w:t>
            </w:r>
          </w:p>
        </w:tc>
        <w:tc>
          <w:tcPr>
            <w:tcW w:w="1881" w:type="dxa"/>
            <w:noWrap/>
            <w:hideMark/>
          </w:tcPr>
          <w:p w:rsidR="00577205" w:rsidRPr="00A474E2" w:rsidRDefault="00577205" w:rsidP="00577205">
            <w:pPr>
              <w:jc w:val="right"/>
              <w:cnfStyle w:val="000000100000" w:firstRow="0" w:lastRow="0" w:firstColumn="0" w:lastColumn="0" w:oddVBand="0" w:evenVBand="0" w:oddHBand="1" w:evenHBand="0" w:firstRowFirstColumn="0" w:firstRowLastColumn="0" w:lastRowFirstColumn="0" w:lastRowLastColumn="0"/>
            </w:pPr>
            <w:r w:rsidRPr="00A474E2">
              <w:t>6,117</w:t>
            </w:r>
          </w:p>
        </w:tc>
      </w:tr>
      <w:tr w:rsidR="00577205" w:rsidRPr="00577205" w:rsidTr="001909FB">
        <w:trPr>
          <w:trHeight w:val="508"/>
        </w:trPr>
        <w:tc>
          <w:tcPr>
            <w:cnfStyle w:val="001000000000" w:firstRow="0" w:lastRow="0" w:firstColumn="1" w:lastColumn="0" w:oddVBand="0" w:evenVBand="0" w:oddHBand="0" w:evenHBand="0" w:firstRowFirstColumn="0" w:firstRowLastColumn="0" w:lastRowFirstColumn="0" w:lastRowLastColumn="0"/>
            <w:tcW w:w="2429" w:type="dxa"/>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Playas de Rosarito</w:t>
            </w:r>
          </w:p>
        </w:tc>
        <w:tc>
          <w:tcPr>
            <w:tcW w:w="1881" w:type="dxa"/>
            <w:noWrap/>
            <w:hideMark/>
          </w:tcPr>
          <w:p w:rsidR="00577205" w:rsidRPr="00A474E2" w:rsidRDefault="00577205" w:rsidP="00577205">
            <w:pPr>
              <w:jc w:val="right"/>
              <w:cnfStyle w:val="000000000000" w:firstRow="0" w:lastRow="0" w:firstColumn="0" w:lastColumn="0" w:oddVBand="0" w:evenVBand="0" w:oddHBand="0" w:evenHBand="0" w:firstRowFirstColumn="0" w:firstRowLastColumn="0" w:lastRowFirstColumn="0" w:lastRowLastColumn="0"/>
            </w:pPr>
            <w:r w:rsidRPr="00A474E2">
              <w:t>6,449</w:t>
            </w:r>
          </w:p>
        </w:tc>
      </w:tr>
      <w:tr w:rsidR="00577205" w:rsidRPr="00577205" w:rsidTr="001909FB">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429" w:type="dxa"/>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TOTAL</w:t>
            </w:r>
          </w:p>
        </w:tc>
        <w:tc>
          <w:tcPr>
            <w:tcW w:w="1881" w:type="dxa"/>
            <w:noWrap/>
            <w:hideMark/>
          </w:tcPr>
          <w:p w:rsidR="00577205" w:rsidRDefault="00577205" w:rsidP="00577205">
            <w:pPr>
              <w:jc w:val="right"/>
              <w:cnfStyle w:val="000000100000" w:firstRow="0" w:lastRow="0" w:firstColumn="0" w:lastColumn="0" w:oddVBand="0" w:evenVBand="0" w:oddHBand="1" w:evenHBand="0" w:firstRowFirstColumn="0" w:firstRowLastColumn="0" w:lastRowFirstColumn="0" w:lastRowLastColumn="0"/>
            </w:pPr>
            <w:r w:rsidRPr="00A474E2">
              <w:t>156,256</w:t>
            </w:r>
          </w:p>
        </w:tc>
      </w:tr>
    </w:tbl>
    <w:p w:rsidR="00DD53BA" w:rsidRDefault="00DD53BA" w:rsidP="00DD53BA">
      <w:pPr>
        <w:spacing w:after="0" w:line="240" w:lineRule="auto"/>
        <w:jc w:val="both"/>
        <w:rPr>
          <w:rFonts w:ascii="Tahoma" w:hAnsi="Tahoma" w:cs="Tahoma"/>
          <w:sz w:val="24"/>
          <w:szCs w:val="24"/>
        </w:rPr>
      </w:pPr>
      <w:r>
        <w:rPr>
          <w:rFonts w:ascii="Tahoma" w:hAnsi="Tahoma" w:cs="Tahoma"/>
          <w:sz w:val="20"/>
        </w:rPr>
        <w:t>Fuente: Elaboración propia con información de: Programa Operativo Anual, Ramo 28-Estatal Desarrollo Municipal, del Gobierno del Estado de Baja California, al Cierre del ejercicio 2017.</w:t>
      </w:r>
    </w:p>
    <w:p w:rsidR="00C900B5" w:rsidRDefault="00C900B5" w:rsidP="00DD53BA">
      <w:pPr>
        <w:spacing w:after="0" w:line="240" w:lineRule="auto"/>
        <w:jc w:val="both"/>
        <w:rPr>
          <w:rFonts w:ascii="Tahoma" w:hAnsi="Tahoma" w:cs="Tahoma"/>
          <w:sz w:val="24"/>
          <w:szCs w:val="24"/>
        </w:rPr>
      </w:pPr>
    </w:p>
    <w:tbl>
      <w:tblPr>
        <w:tblStyle w:val="Tabladecuadrcula4-nfasis21"/>
        <w:tblW w:w="4386" w:type="dxa"/>
        <w:tblLook w:val="04A0" w:firstRow="1" w:lastRow="0" w:firstColumn="1" w:lastColumn="0" w:noHBand="0" w:noVBand="1"/>
      </w:tblPr>
      <w:tblGrid>
        <w:gridCol w:w="2472"/>
        <w:gridCol w:w="1914"/>
      </w:tblGrid>
      <w:tr w:rsidR="00577205" w:rsidRPr="00577205" w:rsidTr="00512EF2">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4386" w:type="dxa"/>
            <w:gridSpan w:val="2"/>
            <w:vAlign w:val="center"/>
            <w:hideMark/>
          </w:tcPr>
          <w:p w:rsidR="00577205" w:rsidRPr="00512EF2" w:rsidRDefault="00577205" w:rsidP="00512EF2">
            <w:pPr>
              <w:jc w:val="center"/>
              <w:rPr>
                <w:rFonts w:ascii="Calibri" w:eastAsia="Times New Roman" w:hAnsi="Calibri" w:cs="Times New Roman"/>
                <w:lang w:eastAsia="es-MX"/>
              </w:rPr>
            </w:pPr>
            <w:r w:rsidRPr="00512EF2">
              <w:rPr>
                <w:rFonts w:ascii="Calibri" w:eastAsia="Times New Roman" w:hAnsi="Calibri" w:cs="Times New Roman"/>
                <w:lang w:eastAsia="es-MX"/>
              </w:rPr>
              <w:t>IMPUESTO A LA VENTA FINAL DE GASOLINA Y DIESEL</w:t>
            </w:r>
          </w:p>
          <w:p w:rsidR="00577205" w:rsidRPr="00512EF2" w:rsidRDefault="00577205" w:rsidP="00512EF2">
            <w:pPr>
              <w:jc w:val="center"/>
              <w:rPr>
                <w:rFonts w:ascii="Calibri" w:eastAsia="Times New Roman" w:hAnsi="Calibri" w:cs="Times New Roman"/>
                <w:b w:val="0"/>
                <w:bCs w:val="0"/>
                <w:lang w:eastAsia="es-MX"/>
              </w:rPr>
            </w:pPr>
            <w:r w:rsidRPr="00512EF2">
              <w:rPr>
                <w:rFonts w:ascii="Calibri" w:eastAsia="Times New Roman" w:hAnsi="Calibri" w:cs="Times New Roman"/>
                <w:lang w:eastAsia="es-MX"/>
              </w:rPr>
              <w:t>miles de pesos</w:t>
            </w:r>
          </w:p>
        </w:tc>
      </w:tr>
      <w:tr w:rsidR="00577205" w:rsidRPr="00577205" w:rsidTr="001909F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72" w:type="dxa"/>
            <w:noWrap/>
            <w:hideMark/>
          </w:tcPr>
          <w:p w:rsidR="00577205" w:rsidRPr="00577205" w:rsidRDefault="00577205" w:rsidP="00B7561A">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MUNICIPIO</w:t>
            </w:r>
          </w:p>
        </w:tc>
        <w:tc>
          <w:tcPr>
            <w:tcW w:w="1914" w:type="dxa"/>
            <w:noWrap/>
            <w:hideMark/>
          </w:tcPr>
          <w:p w:rsidR="00577205" w:rsidRPr="00577205" w:rsidRDefault="00577205" w:rsidP="005772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MONTO</w:t>
            </w:r>
          </w:p>
        </w:tc>
      </w:tr>
      <w:tr w:rsidR="00577205" w:rsidRPr="00577205" w:rsidTr="001909FB">
        <w:trPr>
          <w:trHeight w:val="400"/>
        </w:trPr>
        <w:tc>
          <w:tcPr>
            <w:cnfStyle w:val="001000000000" w:firstRow="0" w:lastRow="0" w:firstColumn="1" w:lastColumn="0" w:oddVBand="0" w:evenVBand="0" w:oddHBand="0" w:evenHBand="0" w:firstRowFirstColumn="0" w:firstRowLastColumn="0" w:lastRowFirstColumn="0" w:lastRowLastColumn="0"/>
            <w:tcW w:w="2472" w:type="dxa"/>
            <w:noWrap/>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Mexicali</w:t>
            </w:r>
          </w:p>
        </w:tc>
        <w:tc>
          <w:tcPr>
            <w:tcW w:w="1914" w:type="dxa"/>
            <w:noWrap/>
            <w:hideMark/>
          </w:tcPr>
          <w:p w:rsidR="00577205" w:rsidRPr="002A4840" w:rsidRDefault="00577205" w:rsidP="00577205">
            <w:pPr>
              <w:jc w:val="right"/>
              <w:cnfStyle w:val="000000000000" w:firstRow="0" w:lastRow="0" w:firstColumn="0" w:lastColumn="0" w:oddVBand="0" w:evenVBand="0" w:oddHBand="0" w:evenHBand="0" w:firstRowFirstColumn="0" w:firstRowLastColumn="0" w:lastRowFirstColumn="0" w:lastRowLastColumn="0"/>
            </w:pPr>
            <w:r w:rsidRPr="002A4840">
              <w:t>47,542</w:t>
            </w:r>
          </w:p>
        </w:tc>
      </w:tr>
      <w:tr w:rsidR="00577205" w:rsidRPr="00577205" w:rsidTr="001909F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72" w:type="dxa"/>
            <w:noWrap/>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Tijuana</w:t>
            </w:r>
          </w:p>
        </w:tc>
        <w:tc>
          <w:tcPr>
            <w:tcW w:w="1914" w:type="dxa"/>
            <w:noWrap/>
            <w:hideMark/>
          </w:tcPr>
          <w:p w:rsidR="00577205" w:rsidRPr="002A4840" w:rsidRDefault="00577205" w:rsidP="00577205">
            <w:pPr>
              <w:jc w:val="right"/>
              <w:cnfStyle w:val="000000100000" w:firstRow="0" w:lastRow="0" w:firstColumn="0" w:lastColumn="0" w:oddVBand="0" w:evenVBand="0" w:oddHBand="1" w:evenHBand="0" w:firstRowFirstColumn="0" w:firstRowLastColumn="0" w:lastRowFirstColumn="0" w:lastRowLastColumn="0"/>
            </w:pPr>
            <w:r w:rsidRPr="002A4840">
              <w:t>71,313</w:t>
            </w:r>
          </w:p>
        </w:tc>
      </w:tr>
      <w:tr w:rsidR="00577205" w:rsidRPr="00577205" w:rsidTr="001909FB">
        <w:trPr>
          <w:trHeight w:val="400"/>
        </w:trPr>
        <w:tc>
          <w:tcPr>
            <w:cnfStyle w:val="001000000000" w:firstRow="0" w:lastRow="0" w:firstColumn="1" w:lastColumn="0" w:oddVBand="0" w:evenVBand="0" w:oddHBand="0" w:evenHBand="0" w:firstRowFirstColumn="0" w:firstRowLastColumn="0" w:lastRowFirstColumn="0" w:lastRowLastColumn="0"/>
            <w:tcW w:w="2472" w:type="dxa"/>
            <w:noWrap/>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Ensenada</w:t>
            </w:r>
          </w:p>
        </w:tc>
        <w:tc>
          <w:tcPr>
            <w:tcW w:w="1914" w:type="dxa"/>
            <w:noWrap/>
            <w:hideMark/>
          </w:tcPr>
          <w:p w:rsidR="00577205" w:rsidRPr="002A4840" w:rsidRDefault="00577205" w:rsidP="00577205">
            <w:pPr>
              <w:jc w:val="right"/>
              <w:cnfStyle w:val="000000000000" w:firstRow="0" w:lastRow="0" w:firstColumn="0" w:lastColumn="0" w:oddVBand="0" w:evenVBand="0" w:oddHBand="0" w:evenHBand="0" w:firstRowFirstColumn="0" w:firstRowLastColumn="0" w:lastRowFirstColumn="0" w:lastRowLastColumn="0"/>
            </w:pPr>
            <w:r w:rsidRPr="002A4840">
              <w:t>21,032</w:t>
            </w:r>
          </w:p>
        </w:tc>
      </w:tr>
      <w:tr w:rsidR="00577205" w:rsidRPr="00577205" w:rsidTr="001909F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72" w:type="dxa"/>
            <w:noWrap/>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Tecate</w:t>
            </w:r>
          </w:p>
        </w:tc>
        <w:tc>
          <w:tcPr>
            <w:tcW w:w="1914" w:type="dxa"/>
            <w:noWrap/>
            <w:hideMark/>
          </w:tcPr>
          <w:p w:rsidR="00577205" w:rsidRPr="002A4840" w:rsidRDefault="00577205" w:rsidP="00577205">
            <w:pPr>
              <w:jc w:val="right"/>
              <w:cnfStyle w:val="000000100000" w:firstRow="0" w:lastRow="0" w:firstColumn="0" w:lastColumn="0" w:oddVBand="0" w:evenVBand="0" w:oddHBand="1" w:evenHBand="0" w:firstRowFirstColumn="0" w:firstRowLastColumn="0" w:lastRowFirstColumn="0" w:lastRowLastColumn="0"/>
            </w:pPr>
            <w:r w:rsidRPr="002A4840">
              <w:t>11,133</w:t>
            </w:r>
          </w:p>
        </w:tc>
      </w:tr>
      <w:tr w:rsidR="00577205" w:rsidRPr="00577205" w:rsidTr="001909FB">
        <w:trPr>
          <w:trHeight w:val="400"/>
        </w:trPr>
        <w:tc>
          <w:tcPr>
            <w:cnfStyle w:val="001000000000" w:firstRow="0" w:lastRow="0" w:firstColumn="1" w:lastColumn="0" w:oddVBand="0" w:evenVBand="0" w:oddHBand="0" w:evenHBand="0" w:firstRowFirstColumn="0" w:firstRowLastColumn="0" w:lastRowFirstColumn="0" w:lastRowLastColumn="0"/>
            <w:tcW w:w="2472" w:type="dxa"/>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Playas de Rosarito</w:t>
            </w:r>
          </w:p>
        </w:tc>
        <w:tc>
          <w:tcPr>
            <w:tcW w:w="1914" w:type="dxa"/>
            <w:noWrap/>
            <w:hideMark/>
          </w:tcPr>
          <w:p w:rsidR="00577205" w:rsidRPr="002A4840" w:rsidRDefault="00577205" w:rsidP="00577205">
            <w:pPr>
              <w:jc w:val="right"/>
              <w:cnfStyle w:val="000000000000" w:firstRow="0" w:lastRow="0" w:firstColumn="0" w:lastColumn="0" w:oddVBand="0" w:evenVBand="0" w:oddHBand="0" w:evenHBand="0" w:firstRowFirstColumn="0" w:firstRowLastColumn="0" w:lastRowFirstColumn="0" w:lastRowLastColumn="0"/>
            </w:pPr>
            <w:r w:rsidRPr="002A4840">
              <w:t>11,928</w:t>
            </w:r>
          </w:p>
        </w:tc>
      </w:tr>
      <w:tr w:rsidR="00577205" w:rsidRPr="00577205" w:rsidTr="001909F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472" w:type="dxa"/>
            <w:hideMark/>
          </w:tcPr>
          <w:p w:rsidR="00577205" w:rsidRPr="00577205" w:rsidRDefault="00577205" w:rsidP="00577205">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TOTAL</w:t>
            </w:r>
          </w:p>
        </w:tc>
        <w:tc>
          <w:tcPr>
            <w:tcW w:w="1914" w:type="dxa"/>
            <w:noWrap/>
            <w:hideMark/>
          </w:tcPr>
          <w:p w:rsidR="00577205" w:rsidRDefault="00577205" w:rsidP="00577205">
            <w:pPr>
              <w:jc w:val="right"/>
              <w:cnfStyle w:val="000000100000" w:firstRow="0" w:lastRow="0" w:firstColumn="0" w:lastColumn="0" w:oddVBand="0" w:evenVBand="0" w:oddHBand="1" w:evenHBand="0" w:firstRowFirstColumn="0" w:firstRowLastColumn="0" w:lastRowFirstColumn="0" w:lastRowLastColumn="0"/>
            </w:pPr>
            <w:r w:rsidRPr="002A4840">
              <w:t>162,948</w:t>
            </w:r>
          </w:p>
        </w:tc>
      </w:tr>
    </w:tbl>
    <w:p w:rsidR="00DD53BA" w:rsidRDefault="00DD53BA" w:rsidP="00DD53BA">
      <w:pPr>
        <w:spacing w:after="0" w:line="240" w:lineRule="auto"/>
        <w:jc w:val="both"/>
        <w:rPr>
          <w:rFonts w:ascii="Tahoma" w:hAnsi="Tahoma" w:cs="Tahoma"/>
          <w:sz w:val="24"/>
          <w:szCs w:val="24"/>
        </w:rPr>
      </w:pPr>
      <w:r>
        <w:rPr>
          <w:rFonts w:ascii="Tahoma" w:hAnsi="Tahoma" w:cs="Tahoma"/>
          <w:sz w:val="20"/>
        </w:rPr>
        <w:t>Fuente: Elaboración propia con información de: Programa Operativo Anual, Ramo 28-Estatal Desarrollo Municipal, del Gobierno del Estado de Baja California, al Cierre del ejercicio 2017.</w:t>
      </w:r>
    </w:p>
    <w:p w:rsidR="00577205" w:rsidRPr="00C900B5" w:rsidRDefault="00577205" w:rsidP="00C900B5">
      <w:pPr>
        <w:spacing w:after="480" w:line="480" w:lineRule="auto"/>
        <w:jc w:val="both"/>
        <w:rPr>
          <w:rFonts w:ascii="Tahoma" w:hAnsi="Tahoma" w:cs="Tahoma"/>
          <w:sz w:val="24"/>
          <w:szCs w:val="24"/>
        </w:rPr>
      </w:pPr>
    </w:p>
    <w:tbl>
      <w:tblPr>
        <w:tblStyle w:val="Tabladecuadrcula4-nfasis21"/>
        <w:tblW w:w="4220" w:type="dxa"/>
        <w:tblLook w:val="04A0" w:firstRow="1" w:lastRow="0" w:firstColumn="1" w:lastColumn="0" w:noHBand="0" w:noVBand="1"/>
      </w:tblPr>
      <w:tblGrid>
        <w:gridCol w:w="2378"/>
        <w:gridCol w:w="1842"/>
      </w:tblGrid>
      <w:tr w:rsidR="00577205" w:rsidRPr="00577205" w:rsidTr="001909FB">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220" w:type="dxa"/>
            <w:gridSpan w:val="2"/>
            <w:hideMark/>
          </w:tcPr>
          <w:p w:rsidR="001909FB" w:rsidRPr="00512EF2" w:rsidRDefault="001909FB" w:rsidP="001909FB">
            <w:pPr>
              <w:jc w:val="center"/>
              <w:rPr>
                <w:rFonts w:ascii="Calibri" w:eastAsia="Times New Roman" w:hAnsi="Calibri" w:cs="Times New Roman"/>
                <w:lang w:eastAsia="es-MX"/>
              </w:rPr>
            </w:pPr>
            <w:r w:rsidRPr="00512EF2">
              <w:rPr>
                <w:rFonts w:ascii="Calibri" w:eastAsia="Times New Roman" w:hAnsi="Calibri" w:cs="Times New Roman"/>
                <w:lang w:eastAsia="es-MX"/>
              </w:rPr>
              <w:t>FONDO DEL IMPUESTO SOBRE PRODUCCIÓN Y SERVICIOS</w:t>
            </w:r>
          </w:p>
          <w:p w:rsidR="00577205" w:rsidRPr="00577205" w:rsidRDefault="001909FB" w:rsidP="001909FB">
            <w:pPr>
              <w:jc w:val="center"/>
              <w:rPr>
                <w:rFonts w:ascii="Calibri" w:eastAsia="Times New Roman" w:hAnsi="Calibri" w:cs="Times New Roman"/>
                <w:b w:val="0"/>
                <w:bCs w:val="0"/>
                <w:color w:val="000000"/>
                <w:lang w:eastAsia="es-MX"/>
              </w:rPr>
            </w:pPr>
            <w:r w:rsidRPr="00512EF2">
              <w:rPr>
                <w:rFonts w:ascii="Calibri" w:eastAsia="Times New Roman" w:hAnsi="Calibri" w:cs="Times New Roman"/>
                <w:lang w:eastAsia="es-MX"/>
              </w:rPr>
              <w:t>millones de pesos</w:t>
            </w:r>
          </w:p>
        </w:tc>
      </w:tr>
      <w:tr w:rsidR="00577205" w:rsidRPr="00577205" w:rsidTr="008F6FA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378" w:type="dxa"/>
            <w:noWrap/>
            <w:hideMark/>
          </w:tcPr>
          <w:p w:rsidR="00577205" w:rsidRPr="00577205" w:rsidRDefault="00577205" w:rsidP="00B7561A">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MUNICIPIO</w:t>
            </w:r>
          </w:p>
        </w:tc>
        <w:tc>
          <w:tcPr>
            <w:tcW w:w="1842" w:type="dxa"/>
            <w:noWrap/>
            <w:hideMark/>
          </w:tcPr>
          <w:p w:rsidR="00577205" w:rsidRPr="00577205" w:rsidRDefault="00577205" w:rsidP="00B7561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MONTO</w:t>
            </w:r>
          </w:p>
        </w:tc>
      </w:tr>
      <w:tr w:rsidR="001909FB" w:rsidRPr="00577205" w:rsidTr="008F6FAE">
        <w:trPr>
          <w:trHeight w:val="531"/>
        </w:trPr>
        <w:tc>
          <w:tcPr>
            <w:cnfStyle w:val="001000000000" w:firstRow="0" w:lastRow="0" w:firstColumn="1" w:lastColumn="0" w:oddVBand="0" w:evenVBand="0" w:oddHBand="0" w:evenHBand="0" w:firstRowFirstColumn="0" w:firstRowLastColumn="0" w:lastRowFirstColumn="0" w:lastRowLastColumn="0"/>
            <w:tcW w:w="2378" w:type="dxa"/>
            <w:noWrap/>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Mexicali</w:t>
            </w:r>
          </w:p>
        </w:tc>
        <w:tc>
          <w:tcPr>
            <w:tcW w:w="1842" w:type="dxa"/>
            <w:noWrap/>
            <w:hideMark/>
          </w:tcPr>
          <w:p w:rsidR="001909FB" w:rsidRPr="007951B5" w:rsidRDefault="001909FB" w:rsidP="001909FB">
            <w:pPr>
              <w:jc w:val="right"/>
              <w:cnfStyle w:val="000000000000" w:firstRow="0" w:lastRow="0" w:firstColumn="0" w:lastColumn="0" w:oddVBand="0" w:evenVBand="0" w:oddHBand="0" w:evenHBand="0" w:firstRowFirstColumn="0" w:firstRowLastColumn="0" w:lastRowFirstColumn="0" w:lastRowLastColumn="0"/>
            </w:pPr>
            <w:r w:rsidRPr="007951B5">
              <w:t>19,388</w:t>
            </w:r>
          </w:p>
        </w:tc>
      </w:tr>
      <w:tr w:rsidR="001909FB" w:rsidRPr="00577205" w:rsidTr="008F6FA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378" w:type="dxa"/>
            <w:noWrap/>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Tijuana</w:t>
            </w:r>
          </w:p>
        </w:tc>
        <w:tc>
          <w:tcPr>
            <w:tcW w:w="1842" w:type="dxa"/>
            <w:noWrap/>
            <w:hideMark/>
          </w:tcPr>
          <w:p w:rsidR="001909FB" w:rsidRPr="007951B5" w:rsidRDefault="001909FB" w:rsidP="001909FB">
            <w:pPr>
              <w:jc w:val="right"/>
              <w:cnfStyle w:val="000000100000" w:firstRow="0" w:lastRow="0" w:firstColumn="0" w:lastColumn="0" w:oddVBand="0" w:evenVBand="0" w:oddHBand="1" w:evenHBand="0" w:firstRowFirstColumn="0" w:firstRowLastColumn="0" w:lastRowFirstColumn="0" w:lastRowLastColumn="0"/>
            </w:pPr>
            <w:r w:rsidRPr="007951B5">
              <w:t>36,313</w:t>
            </w:r>
          </w:p>
        </w:tc>
      </w:tr>
      <w:tr w:rsidR="001909FB" w:rsidRPr="00577205" w:rsidTr="008F6FAE">
        <w:trPr>
          <w:trHeight w:val="531"/>
        </w:trPr>
        <w:tc>
          <w:tcPr>
            <w:cnfStyle w:val="001000000000" w:firstRow="0" w:lastRow="0" w:firstColumn="1" w:lastColumn="0" w:oddVBand="0" w:evenVBand="0" w:oddHBand="0" w:evenHBand="0" w:firstRowFirstColumn="0" w:firstRowLastColumn="0" w:lastRowFirstColumn="0" w:lastRowLastColumn="0"/>
            <w:tcW w:w="2378" w:type="dxa"/>
            <w:noWrap/>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Ensenada</w:t>
            </w:r>
          </w:p>
        </w:tc>
        <w:tc>
          <w:tcPr>
            <w:tcW w:w="1842" w:type="dxa"/>
            <w:noWrap/>
            <w:hideMark/>
          </w:tcPr>
          <w:p w:rsidR="001909FB" w:rsidRPr="007951B5" w:rsidRDefault="001909FB" w:rsidP="001909FB">
            <w:pPr>
              <w:jc w:val="right"/>
              <w:cnfStyle w:val="000000000000" w:firstRow="0" w:lastRow="0" w:firstColumn="0" w:lastColumn="0" w:oddVBand="0" w:evenVBand="0" w:oddHBand="0" w:evenHBand="0" w:firstRowFirstColumn="0" w:firstRowLastColumn="0" w:lastRowFirstColumn="0" w:lastRowLastColumn="0"/>
            </w:pPr>
            <w:r w:rsidRPr="007951B5">
              <w:t>7,427</w:t>
            </w:r>
          </w:p>
        </w:tc>
      </w:tr>
      <w:tr w:rsidR="001909FB" w:rsidRPr="00577205" w:rsidTr="008F6FA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378" w:type="dxa"/>
            <w:noWrap/>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Tecate</w:t>
            </w:r>
          </w:p>
        </w:tc>
        <w:tc>
          <w:tcPr>
            <w:tcW w:w="1842" w:type="dxa"/>
            <w:noWrap/>
            <w:hideMark/>
          </w:tcPr>
          <w:p w:rsidR="001909FB" w:rsidRPr="007951B5" w:rsidRDefault="001909FB" w:rsidP="001909FB">
            <w:pPr>
              <w:jc w:val="right"/>
              <w:cnfStyle w:val="000000100000" w:firstRow="0" w:lastRow="0" w:firstColumn="0" w:lastColumn="0" w:oddVBand="0" w:evenVBand="0" w:oddHBand="1" w:evenHBand="0" w:firstRowFirstColumn="0" w:firstRowLastColumn="0" w:lastRowFirstColumn="0" w:lastRowLastColumn="0"/>
            </w:pPr>
            <w:r w:rsidRPr="007951B5">
              <w:t>2,688</w:t>
            </w:r>
          </w:p>
        </w:tc>
      </w:tr>
      <w:tr w:rsidR="001909FB" w:rsidRPr="00577205" w:rsidTr="008F6FAE">
        <w:trPr>
          <w:trHeight w:val="531"/>
        </w:trPr>
        <w:tc>
          <w:tcPr>
            <w:cnfStyle w:val="001000000000" w:firstRow="0" w:lastRow="0" w:firstColumn="1" w:lastColumn="0" w:oddVBand="0" w:evenVBand="0" w:oddHBand="0" w:evenHBand="0" w:firstRowFirstColumn="0" w:firstRowLastColumn="0" w:lastRowFirstColumn="0" w:lastRowLastColumn="0"/>
            <w:tcW w:w="2378" w:type="dxa"/>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Playas de Rosarito</w:t>
            </w:r>
          </w:p>
        </w:tc>
        <w:tc>
          <w:tcPr>
            <w:tcW w:w="1842" w:type="dxa"/>
            <w:noWrap/>
            <w:hideMark/>
          </w:tcPr>
          <w:p w:rsidR="001909FB" w:rsidRPr="007951B5" w:rsidRDefault="001909FB" w:rsidP="001909FB">
            <w:pPr>
              <w:jc w:val="right"/>
              <w:cnfStyle w:val="000000000000" w:firstRow="0" w:lastRow="0" w:firstColumn="0" w:lastColumn="0" w:oddVBand="0" w:evenVBand="0" w:oddHBand="0" w:evenHBand="0" w:firstRowFirstColumn="0" w:firstRowLastColumn="0" w:lastRowFirstColumn="0" w:lastRowLastColumn="0"/>
            </w:pPr>
            <w:r w:rsidRPr="007951B5">
              <w:t>2,833</w:t>
            </w:r>
          </w:p>
        </w:tc>
      </w:tr>
      <w:tr w:rsidR="001909FB" w:rsidRPr="00577205" w:rsidTr="008F6FA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378" w:type="dxa"/>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TOTAL</w:t>
            </w:r>
          </w:p>
        </w:tc>
        <w:tc>
          <w:tcPr>
            <w:tcW w:w="1842" w:type="dxa"/>
            <w:noWrap/>
            <w:hideMark/>
          </w:tcPr>
          <w:p w:rsidR="001909FB" w:rsidRDefault="001909FB" w:rsidP="001909FB">
            <w:pPr>
              <w:jc w:val="right"/>
              <w:cnfStyle w:val="000000100000" w:firstRow="0" w:lastRow="0" w:firstColumn="0" w:lastColumn="0" w:oddVBand="0" w:evenVBand="0" w:oddHBand="1" w:evenHBand="0" w:firstRowFirstColumn="0" w:firstRowLastColumn="0" w:lastRowFirstColumn="0" w:lastRowLastColumn="0"/>
            </w:pPr>
            <w:r w:rsidRPr="007951B5">
              <w:t>68,649</w:t>
            </w:r>
          </w:p>
        </w:tc>
      </w:tr>
    </w:tbl>
    <w:p w:rsidR="008F6FAE" w:rsidRDefault="008F6FAE" w:rsidP="00DD53BA">
      <w:pPr>
        <w:spacing w:after="0" w:line="240" w:lineRule="auto"/>
        <w:jc w:val="both"/>
        <w:rPr>
          <w:rFonts w:ascii="Tahoma" w:hAnsi="Tahoma" w:cs="Tahoma"/>
          <w:sz w:val="20"/>
        </w:rPr>
      </w:pPr>
      <w:r>
        <w:rPr>
          <w:rFonts w:ascii="Tahoma" w:hAnsi="Tahoma" w:cs="Tahoma"/>
          <w:sz w:val="20"/>
        </w:rPr>
        <w:t>Fuente: Programa Operativo Anual, Ramo 07, Secretaría de Planeación y Finanzas del Gobierno del Estado de Baja California, al Cierre del ejercicio 2017.</w:t>
      </w:r>
    </w:p>
    <w:p w:rsidR="00F97C88" w:rsidRDefault="00F97C88" w:rsidP="00DD53BA">
      <w:pPr>
        <w:spacing w:after="0" w:line="240" w:lineRule="auto"/>
        <w:jc w:val="both"/>
        <w:rPr>
          <w:rFonts w:ascii="Tahoma" w:hAnsi="Tahoma" w:cs="Tahoma"/>
          <w:sz w:val="24"/>
          <w:szCs w:val="24"/>
        </w:rPr>
      </w:pPr>
    </w:p>
    <w:p w:rsidR="00F97C88" w:rsidRDefault="00F97C88" w:rsidP="00DD53BA">
      <w:pPr>
        <w:spacing w:after="0" w:line="240" w:lineRule="auto"/>
        <w:jc w:val="both"/>
        <w:rPr>
          <w:rFonts w:ascii="Tahoma" w:hAnsi="Tahoma" w:cs="Tahoma"/>
          <w:sz w:val="24"/>
          <w:szCs w:val="24"/>
        </w:rPr>
      </w:pPr>
    </w:p>
    <w:tbl>
      <w:tblPr>
        <w:tblStyle w:val="Tabladecuadrcula4-nfasis21"/>
        <w:tblW w:w="4310" w:type="dxa"/>
        <w:tblLook w:val="04A0" w:firstRow="1" w:lastRow="0" w:firstColumn="1" w:lastColumn="0" w:noHBand="0" w:noVBand="1"/>
      </w:tblPr>
      <w:tblGrid>
        <w:gridCol w:w="2429"/>
        <w:gridCol w:w="1881"/>
      </w:tblGrid>
      <w:tr w:rsidR="001909FB" w:rsidRPr="00577205" w:rsidTr="00512EF2">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4310" w:type="dxa"/>
            <w:gridSpan w:val="2"/>
            <w:vAlign w:val="center"/>
            <w:hideMark/>
          </w:tcPr>
          <w:p w:rsidR="001909FB" w:rsidRPr="00512EF2" w:rsidRDefault="001909FB" w:rsidP="00512EF2">
            <w:pPr>
              <w:jc w:val="center"/>
              <w:rPr>
                <w:rFonts w:ascii="Calibri" w:eastAsia="Times New Roman" w:hAnsi="Calibri" w:cs="Times New Roman"/>
                <w:lang w:eastAsia="es-MX"/>
              </w:rPr>
            </w:pPr>
            <w:r w:rsidRPr="00512EF2">
              <w:rPr>
                <w:rFonts w:ascii="Calibri" w:eastAsia="Times New Roman" w:hAnsi="Calibri" w:cs="Times New Roman"/>
                <w:lang w:eastAsia="es-MX"/>
              </w:rPr>
              <w:t>IMPUESTO SOBRE AUTOMÓVILES NUEVOS</w:t>
            </w:r>
          </w:p>
          <w:p w:rsidR="001909FB" w:rsidRPr="00577205" w:rsidRDefault="001909FB" w:rsidP="00512EF2">
            <w:pPr>
              <w:jc w:val="center"/>
              <w:rPr>
                <w:rFonts w:ascii="Calibri" w:eastAsia="Times New Roman" w:hAnsi="Calibri" w:cs="Times New Roman"/>
                <w:b w:val="0"/>
                <w:bCs w:val="0"/>
                <w:color w:val="000000"/>
                <w:lang w:eastAsia="es-MX"/>
              </w:rPr>
            </w:pPr>
            <w:r w:rsidRPr="00512EF2">
              <w:rPr>
                <w:rFonts w:ascii="Calibri" w:eastAsia="Times New Roman" w:hAnsi="Calibri" w:cs="Times New Roman"/>
                <w:lang w:eastAsia="es-MX"/>
              </w:rPr>
              <w:t>millones de pesos</w:t>
            </w:r>
          </w:p>
        </w:tc>
      </w:tr>
      <w:tr w:rsidR="001909FB" w:rsidRPr="00577205" w:rsidTr="001909F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429" w:type="dxa"/>
            <w:noWrap/>
            <w:hideMark/>
          </w:tcPr>
          <w:p w:rsidR="001909FB" w:rsidRPr="00577205" w:rsidRDefault="001909FB" w:rsidP="00B7561A">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MUNICIPIO</w:t>
            </w:r>
          </w:p>
        </w:tc>
        <w:tc>
          <w:tcPr>
            <w:tcW w:w="1881" w:type="dxa"/>
            <w:noWrap/>
            <w:hideMark/>
          </w:tcPr>
          <w:p w:rsidR="001909FB" w:rsidRPr="00577205" w:rsidRDefault="001909FB" w:rsidP="00B7561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MONTO</w:t>
            </w:r>
          </w:p>
        </w:tc>
      </w:tr>
      <w:tr w:rsidR="001909FB" w:rsidRPr="00577205" w:rsidTr="001909FB">
        <w:trPr>
          <w:trHeight w:val="389"/>
        </w:trPr>
        <w:tc>
          <w:tcPr>
            <w:cnfStyle w:val="001000000000" w:firstRow="0" w:lastRow="0" w:firstColumn="1" w:lastColumn="0" w:oddVBand="0" w:evenVBand="0" w:oddHBand="0" w:evenHBand="0" w:firstRowFirstColumn="0" w:firstRowLastColumn="0" w:lastRowFirstColumn="0" w:lastRowLastColumn="0"/>
            <w:tcW w:w="2429" w:type="dxa"/>
            <w:noWrap/>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Mexicali</w:t>
            </w:r>
          </w:p>
        </w:tc>
        <w:tc>
          <w:tcPr>
            <w:tcW w:w="1881" w:type="dxa"/>
            <w:noWrap/>
            <w:hideMark/>
          </w:tcPr>
          <w:p w:rsidR="001909FB" w:rsidRPr="00CC5967" w:rsidRDefault="001909FB" w:rsidP="001909FB">
            <w:pPr>
              <w:jc w:val="right"/>
              <w:cnfStyle w:val="000000000000" w:firstRow="0" w:lastRow="0" w:firstColumn="0" w:lastColumn="0" w:oddVBand="0" w:evenVBand="0" w:oddHBand="0" w:evenHBand="0" w:firstRowFirstColumn="0" w:firstRowLastColumn="0" w:lastRowFirstColumn="0" w:lastRowLastColumn="0"/>
            </w:pPr>
            <w:r w:rsidRPr="00CC5967">
              <w:t>14,729</w:t>
            </w:r>
          </w:p>
        </w:tc>
      </w:tr>
      <w:tr w:rsidR="001909FB" w:rsidRPr="00577205" w:rsidTr="001909F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429" w:type="dxa"/>
            <w:noWrap/>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Tijuana</w:t>
            </w:r>
          </w:p>
        </w:tc>
        <w:tc>
          <w:tcPr>
            <w:tcW w:w="1881" w:type="dxa"/>
            <w:noWrap/>
            <w:hideMark/>
          </w:tcPr>
          <w:p w:rsidR="001909FB" w:rsidRPr="00CC5967" w:rsidRDefault="001909FB" w:rsidP="001909FB">
            <w:pPr>
              <w:jc w:val="right"/>
              <w:cnfStyle w:val="000000100000" w:firstRow="0" w:lastRow="0" w:firstColumn="0" w:lastColumn="0" w:oddVBand="0" w:evenVBand="0" w:oddHBand="1" w:evenHBand="0" w:firstRowFirstColumn="0" w:firstRowLastColumn="0" w:lastRowFirstColumn="0" w:lastRowLastColumn="0"/>
            </w:pPr>
            <w:r w:rsidRPr="00CC5967">
              <w:t>21,286</w:t>
            </w:r>
          </w:p>
        </w:tc>
      </w:tr>
      <w:tr w:rsidR="001909FB" w:rsidRPr="00577205" w:rsidTr="001909FB">
        <w:trPr>
          <w:trHeight w:val="389"/>
        </w:trPr>
        <w:tc>
          <w:tcPr>
            <w:cnfStyle w:val="001000000000" w:firstRow="0" w:lastRow="0" w:firstColumn="1" w:lastColumn="0" w:oddVBand="0" w:evenVBand="0" w:oddHBand="0" w:evenHBand="0" w:firstRowFirstColumn="0" w:firstRowLastColumn="0" w:lastRowFirstColumn="0" w:lastRowLastColumn="0"/>
            <w:tcW w:w="2429" w:type="dxa"/>
            <w:noWrap/>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Ensenada</w:t>
            </w:r>
          </w:p>
        </w:tc>
        <w:tc>
          <w:tcPr>
            <w:tcW w:w="1881" w:type="dxa"/>
            <w:noWrap/>
            <w:hideMark/>
          </w:tcPr>
          <w:p w:rsidR="001909FB" w:rsidRPr="00CC5967" w:rsidRDefault="001909FB" w:rsidP="001909FB">
            <w:pPr>
              <w:jc w:val="right"/>
              <w:cnfStyle w:val="000000000000" w:firstRow="0" w:lastRow="0" w:firstColumn="0" w:lastColumn="0" w:oddVBand="0" w:evenVBand="0" w:oddHBand="0" w:evenHBand="0" w:firstRowFirstColumn="0" w:firstRowLastColumn="0" w:lastRowFirstColumn="0" w:lastRowLastColumn="0"/>
            </w:pPr>
            <w:r w:rsidRPr="00CC5967">
              <w:t>5,325</w:t>
            </w:r>
          </w:p>
        </w:tc>
      </w:tr>
      <w:tr w:rsidR="001909FB" w:rsidRPr="00577205" w:rsidTr="001909F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429" w:type="dxa"/>
            <w:noWrap/>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Tecate</w:t>
            </w:r>
          </w:p>
        </w:tc>
        <w:tc>
          <w:tcPr>
            <w:tcW w:w="1881" w:type="dxa"/>
            <w:noWrap/>
            <w:hideMark/>
          </w:tcPr>
          <w:p w:rsidR="001909FB" w:rsidRPr="00CC5967" w:rsidRDefault="001909FB" w:rsidP="001909FB">
            <w:pPr>
              <w:jc w:val="right"/>
              <w:cnfStyle w:val="000000100000" w:firstRow="0" w:lastRow="0" w:firstColumn="0" w:lastColumn="0" w:oddVBand="0" w:evenVBand="0" w:oddHBand="1" w:evenHBand="0" w:firstRowFirstColumn="0" w:firstRowLastColumn="0" w:lastRowFirstColumn="0" w:lastRowLastColumn="0"/>
            </w:pPr>
            <w:r w:rsidRPr="00CC5967">
              <w:t>1,272</w:t>
            </w:r>
          </w:p>
        </w:tc>
      </w:tr>
      <w:tr w:rsidR="001909FB" w:rsidRPr="00577205" w:rsidTr="001909FB">
        <w:trPr>
          <w:trHeight w:val="389"/>
        </w:trPr>
        <w:tc>
          <w:tcPr>
            <w:cnfStyle w:val="001000000000" w:firstRow="0" w:lastRow="0" w:firstColumn="1" w:lastColumn="0" w:oddVBand="0" w:evenVBand="0" w:oddHBand="0" w:evenHBand="0" w:firstRowFirstColumn="0" w:firstRowLastColumn="0" w:lastRowFirstColumn="0" w:lastRowLastColumn="0"/>
            <w:tcW w:w="2429" w:type="dxa"/>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Playas de Rosarito</w:t>
            </w:r>
          </w:p>
        </w:tc>
        <w:tc>
          <w:tcPr>
            <w:tcW w:w="1881" w:type="dxa"/>
            <w:noWrap/>
            <w:hideMark/>
          </w:tcPr>
          <w:p w:rsidR="001909FB" w:rsidRPr="00CC5967" w:rsidRDefault="001909FB" w:rsidP="001909FB">
            <w:pPr>
              <w:jc w:val="right"/>
              <w:cnfStyle w:val="000000000000" w:firstRow="0" w:lastRow="0" w:firstColumn="0" w:lastColumn="0" w:oddVBand="0" w:evenVBand="0" w:oddHBand="0" w:evenHBand="0" w:firstRowFirstColumn="0" w:firstRowLastColumn="0" w:lastRowFirstColumn="0" w:lastRowLastColumn="0"/>
            </w:pPr>
            <w:r w:rsidRPr="00CC5967">
              <w:t>812</w:t>
            </w:r>
          </w:p>
        </w:tc>
      </w:tr>
      <w:tr w:rsidR="001909FB" w:rsidRPr="00577205" w:rsidTr="001909F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429" w:type="dxa"/>
            <w:hideMark/>
          </w:tcPr>
          <w:p w:rsidR="001909FB" w:rsidRPr="00577205" w:rsidRDefault="001909FB" w:rsidP="001909FB">
            <w:pPr>
              <w:rPr>
                <w:rFonts w:ascii="Calibri" w:eastAsia="Times New Roman" w:hAnsi="Calibri" w:cs="Times New Roman"/>
                <w:color w:val="000000"/>
                <w:lang w:eastAsia="es-MX"/>
              </w:rPr>
            </w:pPr>
            <w:r w:rsidRPr="00577205">
              <w:rPr>
                <w:rFonts w:ascii="Calibri" w:eastAsia="Times New Roman" w:hAnsi="Calibri" w:cs="Times New Roman"/>
                <w:color w:val="000000"/>
                <w:lang w:eastAsia="es-MX"/>
              </w:rPr>
              <w:t>TOTAL</w:t>
            </w:r>
          </w:p>
        </w:tc>
        <w:tc>
          <w:tcPr>
            <w:tcW w:w="1881" w:type="dxa"/>
            <w:noWrap/>
            <w:hideMark/>
          </w:tcPr>
          <w:p w:rsidR="001909FB" w:rsidRDefault="001909FB" w:rsidP="001909FB">
            <w:pPr>
              <w:jc w:val="right"/>
              <w:cnfStyle w:val="000000100000" w:firstRow="0" w:lastRow="0" w:firstColumn="0" w:lastColumn="0" w:oddVBand="0" w:evenVBand="0" w:oddHBand="1" w:evenHBand="0" w:firstRowFirstColumn="0" w:firstRowLastColumn="0" w:lastRowFirstColumn="0" w:lastRowLastColumn="0"/>
            </w:pPr>
            <w:r w:rsidRPr="00CC5967">
              <w:t>43,424</w:t>
            </w:r>
          </w:p>
        </w:tc>
      </w:tr>
    </w:tbl>
    <w:p w:rsidR="00DD53BA" w:rsidRDefault="00DD53BA" w:rsidP="00DD53BA">
      <w:pPr>
        <w:spacing w:after="0" w:line="240" w:lineRule="auto"/>
        <w:jc w:val="both"/>
        <w:rPr>
          <w:rFonts w:ascii="Tahoma" w:hAnsi="Tahoma" w:cs="Tahoma"/>
          <w:sz w:val="24"/>
          <w:szCs w:val="24"/>
        </w:rPr>
      </w:pPr>
      <w:r>
        <w:rPr>
          <w:rFonts w:ascii="Tahoma" w:hAnsi="Tahoma" w:cs="Tahoma"/>
          <w:sz w:val="20"/>
        </w:rPr>
        <w:t>Fuente: Elaboración propia con información de: Programa Operativo Anual, Ramo 28-Estatal Desarrollo Municipal, del Gobierno del Estado de Baja California, al Cierre del ejercicio 2017.</w:t>
      </w:r>
    </w:p>
    <w:p w:rsidR="001909FB" w:rsidRDefault="001909FB" w:rsidP="00C900B5">
      <w:pPr>
        <w:spacing w:after="480" w:line="480" w:lineRule="auto"/>
        <w:jc w:val="both"/>
        <w:rPr>
          <w:rFonts w:ascii="Tahoma" w:hAnsi="Tahoma" w:cs="Tahoma"/>
          <w:sz w:val="24"/>
          <w:szCs w:val="24"/>
        </w:rPr>
        <w:sectPr w:rsidR="001909FB" w:rsidSect="00385418">
          <w:type w:val="continuous"/>
          <w:pgSz w:w="12240" w:h="15840"/>
          <w:pgMar w:top="1417" w:right="1701" w:bottom="1417" w:left="1701" w:header="708" w:footer="708" w:gutter="0"/>
          <w:cols w:num="2" w:space="708"/>
          <w:titlePg/>
          <w:docGrid w:linePitch="360"/>
        </w:sectPr>
      </w:pPr>
    </w:p>
    <w:p w:rsidR="00577205" w:rsidRDefault="00577205" w:rsidP="00DD3B6B">
      <w:pPr>
        <w:autoSpaceDE w:val="0"/>
        <w:autoSpaceDN w:val="0"/>
        <w:adjustRightInd w:val="0"/>
        <w:contextualSpacing/>
        <w:jc w:val="both"/>
        <w:rPr>
          <w:rFonts w:ascii="Tahoma" w:hAnsi="Tahoma" w:cs="Tahoma"/>
          <w:szCs w:val="24"/>
          <w:lang w:val="es-ES" w:eastAsia="es-MX"/>
        </w:rPr>
        <w:sectPr w:rsidR="00577205" w:rsidSect="00385418">
          <w:type w:val="continuous"/>
          <w:pgSz w:w="12240" w:h="15840"/>
          <w:pgMar w:top="1417" w:right="1701" w:bottom="1417" w:left="1701" w:header="708" w:footer="708" w:gutter="0"/>
          <w:cols w:space="708"/>
          <w:titlePg/>
          <w:docGrid w:linePitch="360"/>
        </w:sectPr>
      </w:pPr>
    </w:p>
    <w:p w:rsidR="00C900B5" w:rsidRPr="0051452B" w:rsidRDefault="00C900B5" w:rsidP="00A9093E">
      <w:pPr>
        <w:spacing w:after="480" w:line="480" w:lineRule="auto"/>
        <w:ind w:right="-143"/>
        <w:jc w:val="both"/>
        <w:rPr>
          <w:rFonts w:ascii="Tahoma" w:hAnsi="Tahoma" w:cs="Tahoma"/>
          <w:sz w:val="24"/>
          <w:szCs w:val="24"/>
        </w:rPr>
      </w:pPr>
    </w:p>
    <w:p w:rsidR="0051452B" w:rsidRDefault="0051452B" w:rsidP="00754212">
      <w:pPr>
        <w:spacing w:after="480" w:line="480" w:lineRule="auto"/>
        <w:ind w:right="139"/>
        <w:jc w:val="both"/>
        <w:rPr>
          <w:rFonts w:ascii="Tahoma" w:hAnsi="Tahoma" w:cs="Tahoma"/>
          <w:sz w:val="24"/>
          <w:szCs w:val="24"/>
        </w:rPr>
      </w:pPr>
      <w:r>
        <w:rPr>
          <w:rFonts w:ascii="Tahoma" w:hAnsi="Tahoma" w:cs="Tahoma"/>
          <w:sz w:val="24"/>
          <w:szCs w:val="24"/>
        </w:rPr>
        <w:t>Considerando la distribución arriba mencionada y</w:t>
      </w:r>
      <w:r w:rsidRPr="0051452B">
        <w:rPr>
          <w:rFonts w:ascii="Tahoma" w:hAnsi="Tahoma" w:cs="Tahoma"/>
          <w:sz w:val="24"/>
          <w:szCs w:val="24"/>
        </w:rPr>
        <w:t xml:space="preserve"> partiendo de la necesidad de mejorar la eficiencia recaudatoria propia del Estado. Se vuelve imprescindible fortalecer la política de ingresos, con fundamento en la relevancia del impuesto predial y la protección de la economía formal, para fortalecer los ingresos tributarios gravados en la renta, que se aprecian de ser los más importantes en la determina</w:t>
      </w:r>
      <w:r>
        <w:rPr>
          <w:rFonts w:ascii="Tahoma" w:hAnsi="Tahoma" w:cs="Tahoma"/>
          <w:sz w:val="24"/>
          <w:szCs w:val="24"/>
        </w:rPr>
        <w:t>ción de los ingresos estatales.</w:t>
      </w:r>
    </w:p>
    <w:tbl>
      <w:tblPr>
        <w:tblStyle w:val="Tabladecuadrcula4-nfasis21"/>
        <w:tblW w:w="9180" w:type="dxa"/>
        <w:tblLook w:val="04A0" w:firstRow="1" w:lastRow="0" w:firstColumn="1" w:lastColumn="0" w:noHBand="0" w:noVBand="1"/>
      </w:tblPr>
      <w:tblGrid>
        <w:gridCol w:w="2943"/>
        <w:gridCol w:w="2268"/>
        <w:gridCol w:w="1985"/>
        <w:gridCol w:w="1984"/>
      </w:tblGrid>
      <w:tr w:rsidR="00385418" w:rsidRPr="009C3CC4" w:rsidTr="00512EF2">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943" w:type="dxa"/>
            <w:noWrap/>
            <w:hideMark/>
          </w:tcPr>
          <w:p w:rsidR="00385418" w:rsidRPr="009C3CC4" w:rsidRDefault="00385418" w:rsidP="00754212">
            <w:pPr>
              <w:rPr>
                <w:rFonts w:ascii="Calibri" w:eastAsia="Times New Roman" w:hAnsi="Calibri" w:cs="Calibri"/>
                <w:color w:val="000000"/>
                <w:lang w:eastAsia="es-MX"/>
              </w:rPr>
            </w:pPr>
          </w:p>
        </w:tc>
        <w:tc>
          <w:tcPr>
            <w:tcW w:w="2268" w:type="dxa"/>
            <w:vAlign w:val="center"/>
            <w:hideMark/>
          </w:tcPr>
          <w:p w:rsidR="00385418" w:rsidRPr="00512EF2" w:rsidRDefault="00385418" w:rsidP="00512E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512EF2">
              <w:rPr>
                <w:rFonts w:ascii="Calibri" w:eastAsia="Times New Roman" w:hAnsi="Calibri" w:cs="Calibri"/>
                <w:lang w:eastAsia="es-MX"/>
              </w:rPr>
              <w:t>PRESUPUESTO AUTORIZADO</w:t>
            </w:r>
          </w:p>
        </w:tc>
        <w:tc>
          <w:tcPr>
            <w:tcW w:w="1985" w:type="dxa"/>
            <w:vAlign w:val="center"/>
            <w:hideMark/>
          </w:tcPr>
          <w:p w:rsidR="00385418" w:rsidRPr="00512EF2" w:rsidRDefault="00385418" w:rsidP="00512E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512EF2">
              <w:rPr>
                <w:rFonts w:ascii="Calibri" w:eastAsia="Times New Roman" w:hAnsi="Calibri" w:cs="Calibri"/>
                <w:lang w:eastAsia="es-MX"/>
              </w:rPr>
              <w:t>PRESUPUESTO MODIFICADO</w:t>
            </w:r>
          </w:p>
        </w:tc>
        <w:tc>
          <w:tcPr>
            <w:tcW w:w="1984" w:type="dxa"/>
            <w:vAlign w:val="center"/>
            <w:hideMark/>
          </w:tcPr>
          <w:p w:rsidR="00385418" w:rsidRPr="00512EF2" w:rsidRDefault="00385418" w:rsidP="00512E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512EF2">
              <w:rPr>
                <w:rFonts w:ascii="Calibri" w:eastAsia="Times New Roman" w:hAnsi="Calibri" w:cs="Calibri"/>
                <w:lang w:eastAsia="es-MX"/>
              </w:rPr>
              <w:t>DIFERENCIA</w:t>
            </w:r>
          </w:p>
        </w:tc>
      </w:tr>
      <w:tr w:rsidR="00385418" w:rsidRPr="009C3CC4" w:rsidTr="00512EF2">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943" w:type="dxa"/>
            <w:hideMark/>
          </w:tcPr>
          <w:p w:rsidR="00385418" w:rsidRPr="009C3CC4" w:rsidRDefault="00385418" w:rsidP="00754212">
            <w:pPr>
              <w:rPr>
                <w:rFonts w:ascii="Calibri" w:eastAsia="Times New Roman" w:hAnsi="Calibri" w:cs="Times New Roman"/>
                <w:color w:val="000000"/>
                <w:lang w:eastAsia="es-MX"/>
              </w:rPr>
            </w:pPr>
            <w:r w:rsidRPr="009C3CC4">
              <w:rPr>
                <w:rFonts w:ascii="Calibri" w:eastAsia="Times New Roman" w:hAnsi="Calibri" w:cs="Times New Roman"/>
                <w:color w:val="000000"/>
                <w:lang w:eastAsia="es-MX"/>
              </w:rPr>
              <w:t>Participación sobre impuesto ISR</w:t>
            </w:r>
          </w:p>
        </w:tc>
        <w:tc>
          <w:tcPr>
            <w:tcW w:w="2268"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p>
        </w:tc>
        <w:tc>
          <w:tcPr>
            <w:tcW w:w="1985"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334,291,766.00</w:t>
            </w:r>
          </w:p>
        </w:tc>
        <w:tc>
          <w:tcPr>
            <w:tcW w:w="1984"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334,291,766.00</w:t>
            </w:r>
          </w:p>
        </w:tc>
      </w:tr>
      <w:tr w:rsidR="00385418" w:rsidRPr="009C3CC4" w:rsidTr="00512EF2">
        <w:trPr>
          <w:trHeight w:val="513"/>
        </w:trPr>
        <w:tc>
          <w:tcPr>
            <w:cnfStyle w:val="001000000000" w:firstRow="0" w:lastRow="0" w:firstColumn="1" w:lastColumn="0" w:oddVBand="0" w:evenVBand="0" w:oddHBand="0" w:evenHBand="0" w:firstRowFirstColumn="0" w:firstRowLastColumn="0" w:lastRowFirstColumn="0" w:lastRowLastColumn="0"/>
            <w:tcW w:w="2943" w:type="dxa"/>
            <w:hideMark/>
          </w:tcPr>
          <w:p w:rsidR="00385418" w:rsidRPr="009C3CC4" w:rsidRDefault="00385418" w:rsidP="00754212">
            <w:pPr>
              <w:rPr>
                <w:rFonts w:ascii="Calibri" w:eastAsia="Times New Roman" w:hAnsi="Calibri" w:cs="Times New Roman"/>
                <w:color w:val="000000"/>
                <w:lang w:eastAsia="es-MX"/>
              </w:rPr>
            </w:pPr>
            <w:r w:rsidRPr="009C3CC4">
              <w:rPr>
                <w:rFonts w:ascii="Calibri" w:eastAsia="Times New Roman" w:hAnsi="Calibri" w:cs="Times New Roman"/>
                <w:color w:val="000000"/>
                <w:lang w:eastAsia="es-MX"/>
              </w:rPr>
              <w:t>Participaciones S/Imp</w:t>
            </w:r>
            <w:r w:rsidR="009C3CC4" w:rsidRPr="009C3CC4">
              <w:rPr>
                <w:rFonts w:ascii="Calibri" w:eastAsia="Times New Roman" w:hAnsi="Calibri" w:cs="Times New Roman"/>
                <w:color w:val="000000"/>
                <w:lang w:eastAsia="es-MX"/>
              </w:rPr>
              <w:t>ues</w:t>
            </w:r>
            <w:r w:rsidRPr="009C3CC4">
              <w:rPr>
                <w:rFonts w:ascii="Calibri" w:eastAsia="Times New Roman" w:hAnsi="Calibri" w:cs="Times New Roman"/>
                <w:color w:val="000000"/>
                <w:lang w:eastAsia="es-MX"/>
              </w:rPr>
              <w:t>to V</w:t>
            </w:r>
            <w:r w:rsidR="009C3CC4" w:rsidRPr="009C3CC4">
              <w:rPr>
                <w:rFonts w:ascii="Calibri" w:eastAsia="Times New Roman" w:hAnsi="Calibri" w:cs="Times New Roman"/>
                <w:color w:val="000000"/>
                <w:lang w:eastAsia="es-MX"/>
              </w:rPr>
              <w:t xml:space="preserve">enta </w:t>
            </w:r>
            <w:r w:rsidRPr="009C3CC4">
              <w:rPr>
                <w:rFonts w:ascii="Calibri" w:eastAsia="Times New Roman" w:hAnsi="Calibri" w:cs="Times New Roman"/>
                <w:color w:val="000000"/>
                <w:lang w:eastAsia="es-MX"/>
              </w:rPr>
              <w:t>Final combustible</w:t>
            </w:r>
          </w:p>
        </w:tc>
        <w:tc>
          <w:tcPr>
            <w:tcW w:w="2268"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170,835,616.60</w:t>
            </w:r>
          </w:p>
        </w:tc>
        <w:tc>
          <w:tcPr>
            <w:tcW w:w="1985"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170,835,616.60</w:t>
            </w:r>
          </w:p>
        </w:tc>
        <w:tc>
          <w:tcPr>
            <w:tcW w:w="1984"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0.00</w:t>
            </w:r>
          </w:p>
        </w:tc>
      </w:tr>
      <w:tr w:rsidR="00385418" w:rsidRPr="009C3CC4" w:rsidTr="00512EF2">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943" w:type="dxa"/>
            <w:hideMark/>
          </w:tcPr>
          <w:p w:rsidR="00385418" w:rsidRPr="009C3CC4" w:rsidRDefault="00385418" w:rsidP="00754212">
            <w:pPr>
              <w:rPr>
                <w:rFonts w:ascii="Calibri" w:eastAsia="Times New Roman" w:hAnsi="Calibri" w:cs="Times New Roman"/>
                <w:color w:val="000000"/>
                <w:lang w:eastAsia="es-MX"/>
              </w:rPr>
            </w:pPr>
            <w:r w:rsidRPr="009C3CC4">
              <w:rPr>
                <w:rFonts w:ascii="Calibri" w:eastAsia="Times New Roman" w:hAnsi="Calibri" w:cs="Times New Roman"/>
                <w:color w:val="000000"/>
                <w:lang w:eastAsia="es-MX"/>
              </w:rPr>
              <w:t>Participaciones. S/</w:t>
            </w:r>
            <w:r w:rsidR="009C3CC4" w:rsidRPr="009C3CC4">
              <w:rPr>
                <w:rFonts w:ascii="Calibri" w:eastAsia="Times New Roman" w:hAnsi="Calibri" w:cs="Times New Roman"/>
                <w:color w:val="000000"/>
                <w:lang w:eastAsia="es-MX"/>
              </w:rPr>
              <w:t xml:space="preserve"> Impuesto </w:t>
            </w:r>
            <w:r w:rsidRPr="009C3CC4">
              <w:rPr>
                <w:rFonts w:ascii="Calibri" w:eastAsia="Times New Roman" w:hAnsi="Calibri" w:cs="Times New Roman"/>
                <w:color w:val="000000"/>
                <w:lang w:eastAsia="es-MX"/>
              </w:rPr>
              <w:t>S/Autos nuevos</w:t>
            </w:r>
          </w:p>
        </w:tc>
        <w:tc>
          <w:tcPr>
            <w:tcW w:w="2268"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59,026,000.59</w:t>
            </w:r>
          </w:p>
        </w:tc>
        <w:tc>
          <w:tcPr>
            <w:tcW w:w="1985"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77,321,079.31</w:t>
            </w:r>
          </w:p>
        </w:tc>
        <w:tc>
          <w:tcPr>
            <w:tcW w:w="1984"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18,295,078.72</w:t>
            </w:r>
          </w:p>
        </w:tc>
      </w:tr>
      <w:tr w:rsidR="00385418" w:rsidRPr="009C3CC4" w:rsidTr="00512EF2">
        <w:trPr>
          <w:trHeight w:val="302"/>
        </w:trPr>
        <w:tc>
          <w:tcPr>
            <w:cnfStyle w:val="001000000000" w:firstRow="0" w:lastRow="0" w:firstColumn="1" w:lastColumn="0" w:oddVBand="0" w:evenVBand="0" w:oddHBand="0" w:evenHBand="0" w:firstRowFirstColumn="0" w:firstRowLastColumn="0" w:lastRowFirstColumn="0" w:lastRowLastColumn="0"/>
            <w:tcW w:w="2943" w:type="dxa"/>
            <w:hideMark/>
          </w:tcPr>
          <w:p w:rsidR="00385418" w:rsidRPr="009C3CC4" w:rsidRDefault="00385418" w:rsidP="00754212">
            <w:pPr>
              <w:rPr>
                <w:rFonts w:ascii="Calibri" w:eastAsia="Times New Roman" w:hAnsi="Calibri" w:cs="Times New Roman"/>
                <w:color w:val="000000"/>
                <w:lang w:eastAsia="es-MX"/>
              </w:rPr>
            </w:pPr>
            <w:r w:rsidRPr="009C3CC4">
              <w:rPr>
                <w:rFonts w:ascii="Calibri" w:eastAsia="Times New Roman" w:hAnsi="Calibri" w:cs="Times New Roman"/>
                <w:color w:val="000000"/>
                <w:lang w:eastAsia="es-MX"/>
              </w:rPr>
              <w:t>Estatal Adicional</w:t>
            </w:r>
          </w:p>
        </w:tc>
        <w:tc>
          <w:tcPr>
            <w:tcW w:w="2268"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154,584,836.72</w:t>
            </w:r>
          </w:p>
        </w:tc>
        <w:tc>
          <w:tcPr>
            <w:tcW w:w="1985"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211,997,980.70</w:t>
            </w:r>
          </w:p>
        </w:tc>
        <w:tc>
          <w:tcPr>
            <w:tcW w:w="1984"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57,413,143.98</w:t>
            </w:r>
          </w:p>
        </w:tc>
      </w:tr>
      <w:tr w:rsidR="00385418" w:rsidRPr="009C3CC4" w:rsidTr="00512EF2">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943" w:type="dxa"/>
            <w:hideMark/>
          </w:tcPr>
          <w:p w:rsidR="00385418" w:rsidRPr="009C3CC4" w:rsidRDefault="00385418" w:rsidP="00754212">
            <w:pPr>
              <w:rPr>
                <w:rFonts w:ascii="Calibri" w:eastAsia="Times New Roman" w:hAnsi="Calibri" w:cs="Times New Roman"/>
                <w:color w:val="000000"/>
                <w:lang w:eastAsia="es-MX"/>
              </w:rPr>
            </w:pPr>
            <w:r w:rsidRPr="009C3CC4">
              <w:rPr>
                <w:rFonts w:ascii="Calibri" w:eastAsia="Times New Roman" w:hAnsi="Calibri" w:cs="Times New Roman"/>
                <w:color w:val="000000"/>
                <w:lang w:eastAsia="es-MX"/>
              </w:rPr>
              <w:t>Fondo General de Participaciones a Municipios</w:t>
            </w:r>
          </w:p>
        </w:tc>
        <w:tc>
          <w:tcPr>
            <w:tcW w:w="2268"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3,398,364,007.61</w:t>
            </w:r>
          </w:p>
        </w:tc>
        <w:tc>
          <w:tcPr>
            <w:tcW w:w="1985"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4,089,967,739.00</w:t>
            </w:r>
          </w:p>
        </w:tc>
        <w:tc>
          <w:tcPr>
            <w:tcW w:w="1984"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691,603,731.39</w:t>
            </w:r>
          </w:p>
        </w:tc>
      </w:tr>
      <w:tr w:rsidR="00385418" w:rsidRPr="009C3CC4" w:rsidTr="00512EF2">
        <w:trPr>
          <w:trHeight w:val="302"/>
        </w:trPr>
        <w:tc>
          <w:tcPr>
            <w:cnfStyle w:val="001000000000" w:firstRow="0" w:lastRow="0" w:firstColumn="1" w:lastColumn="0" w:oddVBand="0" w:evenVBand="0" w:oddHBand="0" w:evenHBand="0" w:firstRowFirstColumn="0" w:firstRowLastColumn="0" w:lastRowFirstColumn="0" w:lastRowLastColumn="0"/>
            <w:tcW w:w="2943" w:type="dxa"/>
            <w:hideMark/>
          </w:tcPr>
          <w:p w:rsidR="00385418" w:rsidRPr="009C3CC4" w:rsidRDefault="00385418" w:rsidP="00754212">
            <w:pPr>
              <w:rPr>
                <w:rFonts w:ascii="Calibri" w:eastAsia="Times New Roman" w:hAnsi="Calibri" w:cs="Times New Roman"/>
                <w:color w:val="000000"/>
                <w:lang w:eastAsia="es-MX"/>
              </w:rPr>
            </w:pPr>
            <w:r w:rsidRPr="009C3CC4">
              <w:rPr>
                <w:rFonts w:ascii="Calibri" w:eastAsia="Times New Roman" w:hAnsi="Calibri" w:cs="Times New Roman"/>
                <w:color w:val="000000"/>
                <w:lang w:eastAsia="es-MX"/>
              </w:rPr>
              <w:t>Impuestos Estatales</w:t>
            </w:r>
          </w:p>
        </w:tc>
        <w:tc>
          <w:tcPr>
            <w:tcW w:w="2268"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377,874,122.81</w:t>
            </w:r>
          </w:p>
        </w:tc>
        <w:tc>
          <w:tcPr>
            <w:tcW w:w="1985"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492,751,913.00</w:t>
            </w:r>
          </w:p>
        </w:tc>
        <w:tc>
          <w:tcPr>
            <w:tcW w:w="1984"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114,877,790.19</w:t>
            </w:r>
          </w:p>
        </w:tc>
      </w:tr>
      <w:tr w:rsidR="00385418" w:rsidRPr="009C3CC4" w:rsidTr="00512EF2">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943" w:type="dxa"/>
            <w:hideMark/>
          </w:tcPr>
          <w:p w:rsidR="00385418" w:rsidRPr="009C3CC4" w:rsidRDefault="00385418" w:rsidP="00754212">
            <w:pPr>
              <w:rPr>
                <w:rFonts w:ascii="Calibri" w:eastAsia="Times New Roman" w:hAnsi="Calibri" w:cs="Times New Roman"/>
                <w:color w:val="000000"/>
                <w:lang w:eastAsia="es-MX"/>
              </w:rPr>
            </w:pPr>
            <w:r w:rsidRPr="009C3CC4">
              <w:rPr>
                <w:rFonts w:ascii="Calibri" w:eastAsia="Times New Roman" w:hAnsi="Calibri" w:cs="Times New Roman"/>
                <w:color w:val="000000"/>
                <w:lang w:eastAsia="es-MX"/>
              </w:rPr>
              <w:t>Participaciones 50% derechos por expedición actas del registro civil</w:t>
            </w:r>
          </w:p>
        </w:tc>
        <w:tc>
          <w:tcPr>
            <w:tcW w:w="2268"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p>
        </w:tc>
        <w:tc>
          <w:tcPr>
            <w:tcW w:w="1985"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2,152,563.41</w:t>
            </w:r>
          </w:p>
        </w:tc>
        <w:tc>
          <w:tcPr>
            <w:tcW w:w="1984" w:type="dxa"/>
            <w:noWrap/>
            <w:vAlign w:val="center"/>
            <w:hideMark/>
          </w:tcPr>
          <w:p w:rsidR="00385418" w:rsidRPr="009C3CC4" w:rsidRDefault="00385418" w:rsidP="00512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MX"/>
              </w:rPr>
            </w:pPr>
            <w:r w:rsidRPr="009C3CC4">
              <w:rPr>
                <w:rFonts w:ascii="Calibri" w:eastAsia="Times New Roman" w:hAnsi="Calibri" w:cs="Times New Roman"/>
                <w:b/>
                <w:color w:val="000000"/>
                <w:lang w:eastAsia="es-MX"/>
              </w:rPr>
              <w:t>2,152,563.41</w:t>
            </w:r>
          </w:p>
        </w:tc>
      </w:tr>
      <w:tr w:rsidR="00385418" w:rsidRPr="009C3CC4" w:rsidTr="00512EF2">
        <w:trPr>
          <w:trHeight w:val="302"/>
        </w:trPr>
        <w:tc>
          <w:tcPr>
            <w:cnfStyle w:val="001000000000" w:firstRow="0" w:lastRow="0" w:firstColumn="1" w:lastColumn="0" w:oddVBand="0" w:evenVBand="0" w:oddHBand="0" w:evenHBand="0" w:firstRowFirstColumn="0" w:firstRowLastColumn="0" w:lastRowFirstColumn="0" w:lastRowLastColumn="0"/>
            <w:tcW w:w="2943" w:type="dxa"/>
            <w:hideMark/>
          </w:tcPr>
          <w:p w:rsidR="00385418" w:rsidRPr="009C3CC4" w:rsidRDefault="00385418" w:rsidP="00754212">
            <w:pPr>
              <w:rPr>
                <w:rFonts w:ascii="Calibri" w:eastAsia="Times New Roman" w:hAnsi="Calibri" w:cs="Times New Roman"/>
                <w:color w:val="000000"/>
                <w:lang w:eastAsia="es-MX"/>
              </w:rPr>
            </w:pPr>
            <w:r w:rsidRPr="009C3CC4">
              <w:rPr>
                <w:rFonts w:ascii="Calibri" w:eastAsia="Times New Roman" w:hAnsi="Calibri" w:cs="Times New Roman"/>
                <w:color w:val="000000"/>
                <w:lang w:eastAsia="es-MX"/>
              </w:rPr>
              <w:t>Total</w:t>
            </w:r>
          </w:p>
        </w:tc>
        <w:tc>
          <w:tcPr>
            <w:tcW w:w="2268"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4,160,684,584.33</w:t>
            </w:r>
          </w:p>
        </w:tc>
        <w:tc>
          <w:tcPr>
            <w:tcW w:w="1985"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5,379,318,658.02</w:t>
            </w:r>
          </w:p>
        </w:tc>
        <w:tc>
          <w:tcPr>
            <w:tcW w:w="1984" w:type="dxa"/>
            <w:noWrap/>
            <w:vAlign w:val="center"/>
            <w:hideMark/>
          </w:tcPr>
          <w:p w:rsidR="00385418" w:rsidRPr="009C3CC4" w:rsidRDefault="00385418" w:rsidP="00512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9C3CC4">
              <w:rPr>
                <w:rFonts w:ascii="Calibri" w:eastAsia="Times New Roman" w:hAnsi="Calibri" w:cs="Times New Roman"/>
                <w:b/>
                <w:bCs/>
                <w:color w:val="000000"/>
                <w:lang w:eastAsia="es-MX"/>
              </w:rPr>
              <w:t>1,218,634,073.69</w:t>
            </w:r>
          </w:p>
        </w:tc>
      </w:tr>
    </w:tbl>
    <w:p w:rsidR="00754212" w:rsidRPr="0051452B" w:rsidRDefault="008F6FAE" w:rsidP="008F6FAE">
      <w:pPr>
        <w:spacing w:after="0" w:line="240" w:lineRule="auto"/>
        <w:ind w:right="142"/>
        <w:jc w:val="both"/>
        <w:rPr>
          <w:rFonts w:ascii="Tahoma" w:hAnsi="Tahoma" w:cs="Tahoma"/>
          <w:sz w:val="24"/>
          <w:szCs w:val="24"/>
        </w:rPr>
      </w:pPr>
      <w:r>
        <w:rPr>
          <w:rFonts w:ascii="Tahoma" w:hAnsi="Tahoma" w:cs="Tahoma"/>
          <w:sz w:val="20"/>
        </w:rPr>
        <w:t>Fuente: Programa Operativo Anual, Ramo 07, Secretaría de Planeación y Finanzas del Gobierno del Estado de Baja California, al Cierre del ejercicio 2017.</w:t>
      </w:r>
    </w:p>
    <w:p w:rsidR="008F6FAE" w:rsidRDefault="008F6FAE" w:rsidP="00754212">
      <w:pPr>
        <w:spacing w:after="480" w:line="480" w:lineRule="auto"/>
        <w:ind w:right="139"/>
        <w:jc w:val="both"/>
        <w:rPr>
          <w:rFonts w:ascii="Tahoma" w:hAnsi="Tahoma" w:cs="Tahoma"/>
          <w:sz w:val="24"/>
          <w:szCs w:val="24"/>
        </w:rPr>
      </w:pPr>
    </w:p>
    <w:p w:rsidR="0051452B" w:rsidRPr="0051452B" w:rsidRDefault="0051452B" w:rsidP="00754212">
      <w:pPr>
        <w:spacing w:after="480" w:line="480" w:lineRule="auto"/>
        <w:ind w:right="139"/>
        <w:jc w:val="both"/>
        <w:rPr>
          <w:rFonts w:ascii="Tahoma" w:hAnsi="Tahoma" w:cs="Tahoma"/>
          <w:sz w:val="24"/>
          <w:szCs w:val="24"/>
        </w:rPr>
      </w:pPr>
      <w:r w:rsidRPr="0051452B">
        <w:rPr>
          <w:rFonts w:ascii="Tahoma" w:hAnsi="Tahoma" w:cs="Tahoma"/>
          <w:sz w:val="24"/>
          <w:szCs w:val="24"/>
        </w:rPr>
        <w:t xml:space="preserve">A pesar de que el impuesto predial es de carácter municipal, las entidades federativas deberían de incentivar a los municipios a modernizar su catastro para aumentar la recaudación y eliminar la presión sobre las finanzas públicas estatales. Para Baja California el impuesto predial representa también entre el 60 y 70% del total de ingresos </w:t>
      </w:r>
      <w:r>
        <w:rPr>
          <w:rFonts w:ascii="Tahoma" w:hAnsi="Tahoma" w:cs="Tahoma"/>
          <w:sz w:val="24"/>
          <w:szCs w:val="24"/>
        </w:rPr>
        <w:t>municipales por impuestos.</w:t>
      </w:r>
    </w:p>
    <w:p w:rsidR="00C900B5" w:rsidRPr="0051452B" w:rsidRDefault="0051452B" w:rsidP="00754212">
      <w:pPr>
        <w:spacing w:after="480" w:line="480" w:lineRule="auto"/>
        <w:ind w:right="139"/>
        <w:jc w:val="both"/>
        <w:rPr>
          <w:rFonts w:ascii="Tahoma" w:hAnsi="Tahoma" w:cs="Tahoma"/>
          <w:sz w:val="24"/>
          <w:szCs w:val="24"/>
        </w:rPr>
      </w:pPr>
      <w:r w:rsidRPr="0051452B">
        <w:rPr>
          <w:rFonts w:ascii="Tahoma" w:hAnsi="Tahoma" w:cs="Tahoma"/>
          <w:sz w:val="24"/>
          <w:szCs w:val="24"/>
        </w:rPr>
        <w:t>Reforzar nuevamente los trabajos realizados durante 201</w:t>
      </w:r>
      <w:r>
        <w:rPr>
          <w:rFonts w:ascii="Tahoma" w:hAnsi="Tahoma" w:cs="Tahoma"/>
          <w:sz w:val="24"/>
          <w:szCs w:val="24"/>
        </w:rPr>
        <w:t xml:space="preserve">6 </w:t>
      </w:r>
      <w:r w:rsidRPr="0051452B">
        <w:rPr>
          <w:rFonts w:ascii="Tahoma" w:hAnsi="Tahoma" w:cs="Tahoma"/>
          <w:sz w:val="24"/>
          <w:szCs w:val="24"/>
        </w:rPr>
        <w:t>con la pretensión de fortalecer la modernización catastral en los municipios de Mexicali y Tijuana, donde Baja California formo parte importante de la incorporación al sistema con la participación del municipio de Ensenada reflejando un incremento de 54 por ciento.</w:t>
      </w:r>
    </w:p>
    <w:p w:rsidR="00027D8B" w:rsidRPr="00754212" w:rsidRDefault="00027D8B" w:rsidP="00754212">
      <w:pPr>
        <w:spacing w:after="480" w:line="480" w:lineRule="auto"/>
        <w:jc w:val="both"/>
        <w:rPr>
          <w:rFonts w:ascii="Tahoma" w:hAnsi="Tahoma" w:cs="Tahoma"/>
          <w:sz w:val="24"/>
          <w:szCs w:val="24"/>
        </w:rPr>
      </w:pPr>
      <w:r w:rsidRPr="00754212">
        <w:rPr>
          <w:rFonts w:ascii="Tahoma" w:hAnsi="Tahoma" w:cs="Tahoma"/>
          <w:sz w:val="24"/>
          <w:szCs w:val="24"/>
        </w:rPr>
        <w:br w:type="page"/>
      </w: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tabs>
          <w:tab w:val="left" w:pos="935"/>
        </w:tabs>
        <w:autoSpaceDE w:val="0"/>
        <w:autoSpaceDN w:val="0"/>
        <w:adjustRightInd w:val="0"/>
        <w:contextualSpacing/>
        <w:jc w:val="both"/>
        <w:rPr>
          <w:rFonts w:ascii="Tahoma" w:hAnsi="Tahoma" w:cs="Tahoma"/>
          <w:szCs w:val="24"/>
          <w:lang w:val="es-ES" w:eastAsia="es-MX"/>
        </w:rPr>
      </w:pPr>
    </w:p>
    <w:p w:rsidR="00DD3B6B" w:rsidRDefault="00DD3B6B" w:rsidP="00DD3B6B">
      <w:pPr>
        <w:tabs>
          <w:tab w:val="left" w:pos="935"/>
        </w:tabs>
        <w:autoSpaceDE w:val="0"/>
        <w:autoSpaceDN w:val="0"/>
        <w:adjustRightInd w:val="0"/>
        <w:contextualSpacing/>
        <w:jc w:val="both"/>
        <w:rPr>
          <w:rFonts w:ascii="Tahoma" w:hAnsi="Tahoma" w:cs="Tahoma"/>
          <w:szCs w:val="24"/>
          <w:lang w:val="es-ES" w:eastAsia="es-MX"/>
        </w:rPr>
      </w:pPr>
    </w:p>
    <w:p w:rsidR="00DD3B6B" w:rsidRDefault="00DD3B6B" w:rsidP="00DD3B6B">
      <w:pPr>
        <w:tabs>
          <w:tab w:val="left" w:pos="935"/>
        </w:tabs>
        <w:autoSpaceDE w:val="0"/>
        <w:autoSpaceDN w:val="0"/>
        <w:adjustRightInd w:val="0"/>
        <w:contextualSpacing/>
        <w:jc w:val="both"/>
        <w:rPr>
          <w:rFonts w:ascii="Tahoma" w:hAnsi="Tahoma" w:cs="Tahoma"/>
          <w:szCs w:val="24"/>
          <w:lang w:val="es-ES" w:eastAsia="es-MX"/>
        </w:rPr>
      </w:pPr>
    </w:p>
    <w:p w:rsidR="00DD3B6B" w:rsidRDefault="00DD3B6B" w:rsidP="00DD3B6B">
      <w:pPr>
        <w:tabs>
          <w:tab w:val="left" w:pos="935"/>
        </w:tabs>
        <w:autoSpaceDE w:val="0"/>
        <w:autoSpaceDN w:val="0"/>
        <w:adjustRightInd w:val="0"/>
        <w:contextualSpacing/>
        <w:jc w:val="both"/>
        <w:rPr>
          <w:rFonts w:ascii="Tahoma" w:hAnsi="Tahoma" w:cs="Tahoma"/>
          <w:szCs w:val="24"/>
          <w:lang w:val="es-ES" w:eastAsia="es-MX"/>
        </w:rPr>
      </w:pPr>
    </w:p>
    <w:p w:rsidR="00DD3B6B" w:rsidRDefault="00DD3B6B" w:rsidP="00DD3B6B">
      <w:pPr>
        <w:tabs>
          <w:tab w:val="left" w:pos="935"/>
        </w:tabs>
        <w:autoSpaceDE w:val="0"/>
        <w:autoSpaceDN w:val="0"/>
        <w:adjustRightInd w:val="0"/>
        <w:contextualSpacing/>
        <w:jc w:val="both"/>
        <w:rPr>
          <w:rFonts w:ascii="Tahoma" w:hAnsi="Tahoma" w:cs="Tahoma"/>
          <w:szCs w:val="24"/>
          <w:lang w:val="es-ES" w:eastAsia="es-MX"/>
        </w:rPr>
      </w:pPr>
      <w:r>
        <w:rPr>
          <w:noProof/>
          <w:color w:val="EEECE1" w:themeColor="background2"/>
          <w:lang w:val="en-US"/>
        </w:rPr>
        <mc:AlternateContent>
          <mc:Choice Requires="wps">
            <w:drawing>
              <wp:anchor distT="0" distB="0" distL="114300" distR="114300" simplePos="0" relativeHeight="251661824" behindDoc="0" locked="0" layoutInCell="1" allowOverlap="1" wp14:anchorId="6D952CE3" wp14:editId="0EE8053E">
                <wp:simplePos x="0" y="0"/>
                <wp:positionH relativeFrom="column">
                  <wp:posOffset>1395087</wp:posOffset>
                </wp:positionH>
                <wp:positionV relativeFrom="paragraph">
                  <wp:posOffset>130290</wp:posOffset>
                </wp:positionV>
                <wp:extent cx="4678045" cy="2458085"/>
                <wp:effectExtent l="0" t="0" r="27305" b="18415"/>
                <wp:wrapNone/>
                <wp:docPr id="9" name="9 Rectángulo redondeado"/>
                <wp:cNvGraphicFramePr/>
                <a:graphic xmlns:a="http://schemas.openxmlformats.org/drawingml/2006/main">
                  <a:graphicData uri="http://schemas.microsoft.com/office/word/2010/wordprocessingShape">
                    <wps:wsp>
                      <wps:cNvSpPr/>
                      <wps:spPr>
                        <a:xfrm>
                          <a:off x="0" y="0"/>
                          <a:ext cx="4678045" cy="2458085"/>
                        </a:xfrm>
                        <a:prstGeom prst="roundRect">
                          <a:avLst/>
                        </a:prstGeom>
                        <a:solidFill>
                          <a:srgbClr val="1E1E14"/>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4.</w:t>
                            </w:r>
                            <w:r w:rsidRPr="00DD3B6B">
                              <w:rPr>
                                <w:color w:val="FFFFFF" w:themeColor="background1"/>
                                <w:sz w:val="48"/>
                              </w:rPr>
                              <w:tab/>
                              <w:t>Análisis Seguimiento a Aspectos Susceptibles de Mejora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952CE3" id="9 Rectángulo redondeado" o:spid="_x0000_s1037" style="position:absolute;left:0;text-align:left;margin-left:109.85pt;margin-top:10.25pt;width:368.35pt;height:19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0dpgIAAJMFAAAOAAAAZHJzL2Uyb0RvYy54bWysVM1u2zAMvg/YOwi6r3YCp02DOkXQrsOA&#10;oi3aDj0rshwbkEWNUmJnb7Nn2YuNkh036IodhiWATIrkxx+RvLjsGs12Cl0NJueTk5QzZSQUtdnk&#10;/Nvzzac5Z84LUwgNRuV8rxy/XH78cNHahZpCBbpQyAjEuEVrc155bxdJ4mSlGuFOwCpDwhKwEZ5Y&#10;3CQFipbQG51M0/Q0aQELiyCVc3R73Qv5MuKXpZL+viyd8kznnGLz8cR4rsOZLC/EYoPCVrUcwhD/&#10;EEUjakNOR6hr4QXbYv0HVFNLBAelP5HQJFCWtVQxB8pmkr7J5qkSVsVcqDjOjmVy/w9W3u0ekNVF&#10;zs85M6KhJzpnj1S2Xz/NZquBoSrAFEoUEGrVWrcgkyf7gAPniAyJdyU24UspsS7Wdz/WV3WeSbrM&#10;Ts/maTbjTJJsms3m6XwWUJNXc4vOf1HQsEDkHGFrihBOLK7Y3Trf6x/0gksHui5uaq0jg5v1lUa2&#10;E/Tik8/0zwYXR2pJyKOPPFJ+r1Uw1uZRlVQNinUaPcY+VCOekFIZP+lFlShU72aW0u/gJXRusIhp&#10;RcCAXFJ4I/YAcNDsQQ7YfX6DfjBVsY1H4/RvgfXGo0X0DMaPxk1tAN8D0JTV4LnXp/CPShNI3627&#10;2CmTqBqu1lDsqX0Q+rlyVt7U9G63wvkHgTRINHK0HPw9HaWGNucwUJxVgD/euw/61N8k5aylwcy5&#10;+74VqDjTXw11/vkky8IkRyabnU2JwWPJ+lhits0VhE6gNWRlJIO+1weyRGheaIesglcSCSPJd86l&#10;xwNz5fuFQVtIqtUqqtH0WuFvzZOVATwUOrTkc/ci0A7N66nv7+AwxGLxpn173WBpYLX1UNaxt1/r&#10;OjwBTX7spWFLhdVyzEet1126/A0AAP//AwBQSwMEFAAGAAgAAAAhABKBF/7gAAAACgEAAA8AAABk&#10;cnMvZG93bnJldi54bWxMj8FOwzAMhu9IvENkJG4sWVm7tTSdYBIXJA6UiXPWZG1Z45Qk68rbY05w&#10;s+VPv7+/3M52YJPxoXcoYbkQwAw2TvfYSti/P99tgIWoUKvBoZHwbQJsq+urUhXaXfDNTHVsGYVg&#10;KJSELsax4Dw0nbEqLNxokG5H562KtPqWa68uFG4HngiRcat6pA+dGs2uM82pPlsJmapfP/2U73jy&#10;sR/u/fR1ekpfpLy9mR8fgEUzxz8YfvVJHSpyOrgz6sAGCckyXxNKg0iBEZCn2QrYQcJKrDPgVcn/&#10;V6h+AAAA//8DAFBLAQItABQABgAIAAAAIQC2gziS/gAAAOEBAAATAAAAAAAAAAAAAAAAAAAAAABb&#10;Q29udGVudF9UeXBlc10ueG1sUEsBAi0AFAAGAAgAAAAhADj9If/WAAAAlAEAAAsAAAAAAAAAAAAA&#10;AAAALwEAAF9yZWxzLy5yZWxzUEsBAi0AFAAGAAgAAAAhAOugjR2mAgAAkwUAAA4AAAAAAAAAAAAA&#10;AAAALgIAAGRycy9lMm9Eb2MueG1sUEsBAi0AFAAGAAgAAAAhABKBF/7gAAAACgEAAA8AAAAAAAAA&#10;AAAAAAAAAAUAAGRycy9kb3ducmV2LnhtbFBLBQYAAAAABAAEAPMAAAANBgAAAAA=&#10;" fillcolor="#1e1e14" strokecolor="#243f60 [1604]" strokeweight="2pt">
                <v:textbo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4.</w:t>
                      </w:r>
                      <w:r w:rsidRPr="00DD3B6B">
                        <w:rPr>
                          <w:color w:val="FFFFFF" w:themeColor="background1"/>
                          <w:sz w:val="48"/>
                        </w:rPr>
                        <w:tab/>
                        <w:t>Análisis Seguimiento a Aspectos Susceptibles de Mejora</w:t>
                      </w:r>
                    </w:p>
                  </w:txbxContent>
                </v:textbox>
              </v:roundrect>
            </w:pict>
          </mc:Fallback>
        </mc:AlternateContent>
      </w: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AA020D" w:rsidP="00DD3B6B">
      <w:pPr>
        <w:autoSpaceDE w:val="0"/>
        <w:autoSpaceDN w:val="0"/>
        <w:adjustRightInd w:val="0"/>
        <w:contextualSpacing/>
        <w:jc w:val="both"/>
        <w:rPr>
          <w:rFonts w:ascii="Tahoma" w:hAnsi="Tahoma" w:cs="Tahoma"/>
          <w:szCs w:val="24"/>
          <w:lang w:val="es-ES" w:eastAsia="es-MX"/>
        </w:rPr>
      </w:pPr>
      <w:r>
        <w:rPr>
          <w:noProof/>
          <w:lang w:val="en-US"/>
        </w:rPr>
        <w:drawing>
          <wp:anchor distT="0" distB="0" distL="114300" distR="114300" simplePos="0" relativeHeight="251692544" behindDoc="0" locked="0" layoutInCell="1" allowOverlap="1" wp14:anchorId="761DC9E7" wp14:editId="6FD78D77">
            <wp:simplePos x="0" y="0"/>
            <wp:positionH relativeFrom="column">
              <wp:posOffset>1097915</wp:posOffset>
            </wp:positionH>
            <wp:positionV relativeFrom="paragraph">
              <wp:posOffset>101600</wp:posOffset>
            </wp:positionV>
            <wp:extent cx="3810000" cy="3810000"/>
            <wp:effectExtent l="0" t="0" r="0" b="0"/>
            <wp:wrapNone/>
            <wp:docPr id="53" name="Imagen 5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8100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D3B6B" w:rsidRDefault="00DD3B6B" w:rsidP="00DD3B6B">
      <w:pPr>
        <w:autoSpaceDE w:val="0"/>
        <w:autoSpaceDN w:val="0"/>
        <w:adjustRightInd w:val="0"/>
        <w:contextualSpacing/>
        <w:jc w:val="both"/>
        <w:rPr>
          <w:rFonts w:ascii="Tahoma" w:hAnsi="Tahoma" w:cs="Tahoma"/>
          <w:szCs w:val="24"/>
          <w:lang w:val="es-ES" w:eastAsia="es-MX"/>
        </w:rPr>
      </w:pPr>
    </w:p>
    <w:p w:rsidR="00DD3B6B" w:rsidRDefault="00E72516" w:rsidP="00DD3B6B">
      <w:pPr>
        <w:autoSpaceDE w:val="0"/>
        <w:autoSpaceDN w:val="0"/>
        <w:adjustRightInd w:val="0"/>
        <w:contextualSpacing/>
        <w:jc w:val="both"/>
        <w:rPr>
          <w:rFonts w:ascii="Tahoma" w:hAnsi="Tahoma" w:cs="Tahoma"/>
          <w:szCs w:val="24"/>
          <w:lang w:val="es-ES" w:eastAsia="es-MX"/>
        </w:rPr>
      </w:pPr>
      <w:r>
        <w:rPr>
          <w:rFonts w:ascii="Tahoma" w:hAnsi="Tahoma" w:cs="Tahoma"/>
          <w:noProof/>
          <w:szCs w:val="24"/>
          <w:lang w:val="en-US"/>
        </w:rPr>
        <w:drawing>
          <wp:anchor distT="0" distB="0" distL="114300" distR="114300" simplePos="0" relativeHeight="251693568" behindDoc="0" locked="0" layoutInCell="1" allowOverlap="1" wp14:anchorId="3B5AF34F" wp14:editId="2B34F8E3">
            <wp:simplePos x="0" y="0"/>
            <wp:positionH relativeFrom="column">
              <wp:posOffset>1310042</wp:posOffset>
            </wp:positionH>
            <wp:positionV relativeFrom="paragraph">
              <wp:posOffset>87282</wp:posOffset>
            </wp:positionV>
            <wp:extent cx="2141763" cy="1762125"/>
            <wp:effectExtent l="0" t="114300" r="0" b="104775"/>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_213358.jpg"/>
                    <pic:cNvPicPr/>
                  </pic:nvPicPr>
                  <pic:blipFill>
                    <a:blip r:embed="rId41" cstate="print">
                      <a:extLst>
                        <a:ext uri="{28A0092B-C50C-407E-A947-70E740481C1C}">
                          <a14:useLocalDpi xmlns:a14="http://schemas.microsoft.com/office/drawing/2010/main" val="0"/>
                        </a:ext>
                      </a:extLst>
                    </a:blip>
                    <a:stretch>
                      <a:fillRect/>
                    </a:stretch>
                  </pic:blipFill>
                  <pic:spPr>
                    <a:xfrm rot="18912323">
                      <a:off x="0" y="0"/>
                      <a:ext cx="2146796" cy="176626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D3B6B" w:rsidRDefault="00DD3B6B" w:rsidP="00DD3B6B">
      <w:pPr>
        <w:autoSpaceDE w:val="0"/>
        <w:autoSpaceDN w:val="0"/>
        <w:adjustRightInd w:val="0"/>
        <w:contextualSpacing/>
        <w:jc w:val="both"/>
        <w:rPr>
          <w:rFonts w:ascii="Tahoma" w:hAnsi="Tahoma" w:cs="Tahoma"/>
          <w:szCs w:val="24"/>
          <w:lang w:val="es-ES" w:eastAsia="es-MX"/>
        </w:rPr>
      </w:pPr>
    </w:p>
    <w:p w:rsidR="0051452B" w:rsidRDefault="00AA020D" w:rsidP="00DD3B6B">
      <w:pPr>
        <w:autoSpaceDE w:val="0"/>
        <w:autoSpaceDN w:val="0"/>
        <w:adjustRightInd w:val="0"/>
        <w:contextualSpacing/>
        <w:jc w:val="both"/>
        <w:rPr>
          <w:rFonts w:ascii="Tahoma" w:hAnsi="Tahoma" w:cs="Tahoma"/>
          <w:szCs w:val="24"/>
          <w:lang w:val="es-ES" w:eastAsia="es-MX"/>
        </w:rPr>
        <w:sectPr w:rsidR="0051452B" w:rsidSect="00A9093E">
          <w:footerReference w:type="default" r:id="rId42"/>
          <w:pgSz w:w="12240" w:h="15840" w:code="1"/>
          <w:pgMar w:top="1417" w:right="1701" w:bottom="1417" w:left="1701" w:header="708" w:footer="708" w:gutter="0"/>
          <w:cols w:space="708"/>
          <w:docGrid w:linePitch="360"/>
        </w:sectPr>
      </w:pPr>
      <w:r>
        <w:rPr>
          <w:noProof/>
          <w:lang w:val="en-US"/>
        </w:rPr>
        <w:drawing>
          <wp:anchor distT="0" distB="0" distL="114300" distR="114300" simplePos="0" relativeHeight="251694592" behindDoc="1" locked="0" layoutInCell="1" allowOverlap="1" wp14:anchorId="2A3CF87A" wp14:editId="00153C43">
            <wp:simplePos x="0" y="0"/>
            <wp:positionH relativeFrom="column">
              <wp:posOffset>2212340</wp:posOffset>
            </wp:positionH>
            <wp:positionV relativeFrom="paragraph">
              <wp:posOffset>697865</wp:posOffset>
            </wp:positionV>
            <wp:extent cx="2019300" cy="1135380"/>
            <wp:effectExtent l="0" t="0" r="0" b="7620"/>
            <wp:wrapNone/>
            <wp:docPr id="55" name="Imagen 55" descr="Resultado de imagen para mon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oned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9300" cy="11353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309BF">
        <w:rPr>
          <w:rFonts w:ascii="Tahoma" w:hAnsi="Tahoma" w:cs="Tahoma"/>
          <w:szCs w:val="24"/>
          <w:lang w:val="es-ES" w:eastAsia="es-MX"/>
        </w:rPr>
        <w:br w:type="page"/>
      </w:r>
    </w:p>
    <w:p w:rsidR="00DD3B6B" w:rsidRDefault="00B7561A" w:rsidP="00385418">
      <w:pPr>
        <w:pStyle w:val="Heading1"/>
        <w:ind w:left="284" w:right="281"/>
        <w:rPr>
          <w:rFonts w:ascii="Maiandra GD" w:hAnsi="Maiandra GD"/>
          <w:color w:val="943634" w:themeColor="accent2" w:themeShade="BF"/>
          <w:sz w:val="32"/>
          <w:szCs w:val="32"/>
          <w:lang w:val="es-ES" w:eastAsia="es-MX"/>
        </w:rPr>
      </w:pPr>
      <w:bookmarkStart w:id="16" w:name="_Toc520556945"/>
      <w:r w:rsidRPr="00CF6447">
        <w:rPr>
          <w:rFonts w:ascii="Maiandra GD" w:hAnsi="Maiandra GD"/>
          <w:color w:val="943634" w:themeColor="accent2" w:themeShade="BF"/>
          <w:sz w:val="32"/>
          <w:szCs w:val="32"/>
          <w:lang w:val="es-ES" w:eastAsia="es-MX"/>
        </w:rPr>
        <w:t>ANÁLISIS SEGUIMIENTO A ASPECTOS SUSCEPTIBLES DE MEJORA</w:t>
      </w:r>
      <w:bookmarkEnd w:id="16"/>
    </w:p>
    <w:p w:rsidR="00CF6447" w:rsidRDefault="00CF6447" w:rsidP="00385418">
      <w:pPr>
        <w:ind w:left="284" w:right="281"/>
        <w:rPr>
          <w:lang w:val="es-ES" w:eastAsia="es-MX"/>
        </w:rPr>
      </w:pPr>
    </w:p>
    <w:p w:rsidR="00DD3B6B" w:rsidRDefault="00AA020D" w:rsidP="00385418">
      <w:pPr>
        <w:spacing w:after="480" w:line="480" w:lineRule="auto"/>
        <w:ind w:left="284" w:right="281"/>
        <w:jc w:val="both"/>
        <w:rPr>
          <w:rFonts w:ascii="Tahoma" w:hAnsi="Tahoma" w:cs="Tahoma"/>
          <w:sz w:val="24"/>
          <w:szCs w:val="24"/>
        </w:rPr>
      </w:pPr>
      <w:r w:rsidRPr="004B55AE">
        <w:rPr>
          <w:rFonts w:ascii="Tahoma" w:hAnsi="Tahoma" w:cs="Tahoma"/>
          <w:sz w:val="24"/>
          <w:szCs w:val="24"/>
        </w:rPr>
        <w:t>De las recomendaciones derivadas de</w:t>
      </w:r>
      <w:r w:rsidR="004B55AE" w:rsidRPr="004B55AE">
        <w:rPr>
          <w:rFonts w:ascii="Tahoma" w:hAnsi="Tahoma" w:cs="Tahoma"/>
          <w:sz w:val="24"/>
          <w:szCs w:val="24"/>
        </w:rPr>
        <w:t>l análisis objetivo y puntual de las</w:t>
      </w:r>
      <w:r w:rsidRPr="004B55AE">
        <w:rPr>
          <w:rFonts w:ascii="Tahoma" w:hAnsi="Tahoma" w:cs="Tahoma"/>
          <w:sz w:val="24"/>
          <w:szCs w:val="24"/>
        </w:rPr>
        <w:t xml:space="preserve"> Evaluaciones en ejercicios anteriores, es importante verificar el cumplimiento</w:t>
      </w:r>
      <w:r w:rsidR="004B55AE" w:rsidRPr="004B55AE">
        <w:rPr>
          <w:rFonts w:ascii="Tahoma" w:hAnsi="Tahoma" w:cs="Tahoma"/>
          <w:sz w:val="24"/>
          <w:szCs w:val="24"/>
        </w:rPr>
        <w:t xml:space="preserve"> de los Compromisos asumidos por las Dependencias o Entidades responsables de la ejecución del Ramo 28 en Baja California. </w:t>
      </w:r>
      <w:r w:rsidR="004B55AE">
        <w:rPr>
          <w:rFonts w:ascii="Tahoma" w:hAnsi="Tahoma" w:cs="Tahoma"/>
          <w:sz w:val="24"/>
          <w:szCs w:val="24"/>
        </w:rPr>
        <w:t xml:space="preserve">Ya que de esta forma el impacto de las Evaluaciones se materializa en la obtención de más y mejores resultados, al contribuir a mejorar el desempeño, la gestión, operación, seguimiento e incluso de las evaluaciones futuras y de </w:t>
      </w:r>
      <w:r w:rsidR="004B55AE" w:rsidRPr="004B55AE">
        <w:rPr>
          <w:rFonts w:ascii="Tahoma" w:hAnsi="Tahoma" w:cs="Tahoma"/>
          <w:sz w:val="24"/>
          <w:szCs w:val="24"/>
        </w:rPr>
        <w:t>las revisiones realizadas por la</w:t>
      </w:r>
      <w:r w:rsidR="004B55AE">
        <w:rPr>
          <w:rFonts w:ascii="Tahoma" w:hAnsi="Tahoma" w:cs="Tahoma"/>
          <w:sz w:val="24"/>
          <w:szCs w:val="24"/>
        </w:rPr>
        <w:t xml:space="preserve"> ASE y</w:t>
      </w:r>
      <w:r w:rsidR="004B55AE" w:rsidRPr="004B55AE">
        <w:rPr>
          <w:rFonts w:ascii="Tahoma" w:hAnsi="Tahoma" w:cs="Tahoma"/>
          <w:sz w:val="24"/>
          <w:szCs w:val="24"/>
        </w:rPr>
        <w:t xml:space="preserve"> ASF al ejercicio de los recursos</w:t>
      </w:r>
      <w:r w:rsidR="004B55AE">
        <w:rPr>
          <w:rFonts w:ascii="Tahoma" w:hAnsi="Tahoma" w:cs="Tahoma"/>
          <w:sz w:val="24"/>
          <w:szCs w:val="24"/>
        </w:rPr>
        <w:t xml:space="preserve"> federales transferidos a la</w:t>
      </w:r>
      <w:r w:rsidR="004B55AE" w:rsidRPr="004B55AE">
        <w:rPr>
          <w:rFonts w:ascii="Tahoma" w:hAnsi="Tahoma" w:cs="Tahoma"/>
          <w:sz w:val="24"/>
          <w:szCs w:val="24"/>
        </w:rPr>
        <w:t xml:space="preserve"> entidad federativa, a los municipios y a los órganos político-administrativos </w:t>
      </w:r>
      <w:r w:rsidR="004B55AE">
        <w:rPr>
          <w:rFonts w:ascii="Tahoma" w:hAnsi="Tahoma" w:cs="Tahoma"/>
          <w:sz w:val="24"/>
          <w:szCs w:val="24"/>
        </w:rPr>
        <w:t>respecto al Objetivo General de las Participaciones Federales Transferidas y Ejercidas.</w:t>
      </w:r>
    </w:p>
    <w:p w:rsidR="00795711" w:rsidRDefault="00795711" w:rsidP="00385418">
      <w:pPr>
        <w:spacing w:after="480" w:line="480" w:lineRule="auto"/>
        <w:ind w:left="284" w:right="281"/>
        <w:jc w:val="both"/>
        <w:rPr>
          <w:rFonts w:ascii="Tahoma" w:hAnsi="Tahoma" w:cs="Tahoma"/>
          <w:sz w:val="24"/>
          <w:szCs w:val="24"/>
        </w:rPr>
      </w:pPr>
      <w:r>
        <w:rPr>
          <w:rFonts w:ascii="Tahoma" w:hAnsi="Tahoma" w:cs="Tahoma"/>
          <w:sz w:val="24"/>
          <w:szCs w:val="24"/>
        </w:rPr>
        <w:t>De acuerdo con el Programa Anual de auditorías para la Fiscalización Superior de la Cuenta Pública</w:t>
      </w:r>
      <w:r w:rsidR="006275C2">
        <w:rPr>
          <w:rFonts w:ascii="Tahoma" w:hAnsi="Tahoma" w:cs="Tahoma"/>
          <w:sz w:val="24"/>
          <w:szCs w:val="24"/>
        </w:rPr>
        <w:t xml:space="preserve"> 2017</w:t>
      </w:r>
      <w:r>
        <w:rPr>
          <w:rFonts w:ascii="Tahoma" w:hAnsi="Tahoma" w:cs="Tahoma"/>
          <w:sz w:val="24"/>
          <w:szCs w:val="24"/>
        </w:rPr>
        <w:t xml:space="preserve">, se audita de las Participaciones Federales: </w:t>
      </w:r>
    </w:p>
    <w:p w:rsidR="00795711" w:rsidRDefault="00795711" w:rsidP="00385418">
      <w:pPr>
        <w:pStyle w:val="ListParagraph"/>
        <w:numPr>
          <w:ilvl w:val="0"/>
          <w:numId w:val="16"/>
        </w:numPr>
        <w:spacing w:after="480" w:line="480" w:lineRule="auto"/>
        <w:ind w:left="284" w:right="281" w:hanging="357"/>
        <w:contextualSpacing/>
        <w:jc w:val="both"/>
        <w:rPr>
          <w:rFonts w:ascii="Tahoma" w:hAnsi="Tahoma" w:cs="Tahoma"/>
          <w:szCs w:val="24"/>
        </w:rPr>
      </w:pPr>
      <w:r>
        <w:rPr>
          <w:rFonts w:ascii="Tahoma" w:hAnsi="Tahoma" w:cs="Tahoma"/>
          <w:szCs w:val="24"/>
        </w:rPr>
        <w:t>Cumplimiento Financiero</w:t>
      </w:r>
      <w:r w:rsidR="00512EF2">
        <w:rPr>
          <w:rFonts w:ascii="Tahoma" w:hAnsi="Tahoma" w:cs="Tahoma"/>
          <w:szCs w:val="24"/>
        </w:rPr>
        <w:t>:</w:t>
      </w:r>
    </w:p>
    <w:p w:rsidR="00795711" w:rsidRDefault="00795711" w:rsidP="00512EF2">
      <w:pPr>
        <w:pStyle w:val="ListParagraph"/>
        <w:numPr>
          <w:ilvl w:val="1"/>
          <w:numId w:val="16"/>
        </w:numPr>
        <w:spacing w:after="480" w:line="480" w:lineRule="auto"/>
        <w:ind w:left="851" w:right="281" w:hanging="357"/>
        <w:contextualSpacing/>
        <w:jc w:val="both"/>
        <w:rPr>
          <w:rFonts w:ascii="Tahoma" w:hAnsi="Tahoma" w:cs="Tahoma"/>
          <w:szCs w:val="24"/>
        </w:rPr>
      </w:pPr>
      <w:r>
        <w:rPr>
          <w:rFonts w:ascii="Tahoma" w:hAnsi="Tahoma" w:cs="Tahoma"/>
          <w:szCs w:val="24"/>
        </w:rPr>
        <w:t>Distribución de las Participaciones Federales</w:t>
      </w:r>
      <w:r w:rsidR="00512EF2">
        <w:rPr>
          <w:rFonts w:ascii="Tahoma" w:hAnsi="Tahoma" w:cs="Tahoma"/>
          <w:szCs w:val="24"/>
        </w:rPr>
        <w:t>.</w:t>
      </w:r>
    </w:p>
    <w:p w:rsidR="006275C2" w:rsidRPr="006275C2" w:rsidRDefault="00795711" w:rsidP="00512EF2">
      <w:pPr>
        <w:pStyle w:val="ListParagraph"/>
        <w:numPr>
          <w:ilvl w:val="1"/>
          <w:numId w:val="16"/>
        </w:numPr>
        <w:spacing w:after="480" w:line="480" w:lineRule="auto"/>
        <w:ind w:left="851" w:right="281" w:hanging="357"/>
        <w:contextualSpacing/>
        <w:jc w:val="both"/>
        <w:rPr>
          <w:rFonts w:ascii="Tahoma" w:hAnsi="Tahoma" w:cs="Tahoma"/>
          <w:szCs w:val="24"/>
        </w:rPr>
      </w:pPr>
      <w:r w:rsidRPr="006275C2">
        <w:rPr>
          <w:rFonts w:ascii="Tahoma" w:hAnsi="Tahoma" w:cs="Tahoma"/>
          <w:szCs w:val="24"/>
        </w:rPr>
        <w:t xml:space="preserve">Participaciones Federales a </w:t>
      </w:r>
      <w:r w:rsidR="006275C2">
        <w:rPr>
          <w:rFonts w:ascii="Tahoma" w:hAnsi="Tahoma" w:cs="Tahoma"/>
          <w:szCs w:val="24"/>
        </w:rPr>
        <w:t>Entidades Federativas</w:t>
      </w:r>
      <w:r w:rsidR="00512EF2">
        <w:rPr>
          <w:rFonts w:ascii="Tahoma" w:hAnsi="Tahoma" w:cs="Tahoma"/>
          <w:szCs w:val="24"/>
        </w:rPr>
        <w:t>.</w:t>
      </w:r>
    </w:p>
    <w:p w:rsidR="006275C2" w:rsidRDefault="006275C2" w:rsidP="00512EF2">
      <w:pPr>
        <w:pStyle w:val="ListParagraph"/>
        <w:numPr>
          <w:ilvl w:val="1"/>
          <w:numId w:val="16"/>
        </w:numPr>
        <w:spacing w:after="480" w:line="480" w:lineRule="auto"/>
        <w:ind w:left="851" w:right="281" w:hanging="357"/>
        <w:contextualSpacing/>
        <w:jc w:val="both"/>
        <w:rPr>
          <w:rFonts w:ascii="Tahoma" w:hAnsi="Tahoma" w:cs="Tahoma"/>
          <w:szCs w:val="24"/>
        </w:rPr>
      </w:pPr>
      <w:r w:rsidRPr="006275C2">
        <w:rPr>
          <w:rFonts w:ascii="Tahoma" w:hAnsi="Tahoma" w:cs="Tahoma"/>
          <w:szCs w:val="24"/>
        </w:rPr>
        <w:t>Participaciones Federales a Municipios</w:t>
      </w:r>
      <w:r>
        <w:rPr>
          <w:rFonts w:ascii="Tahoma" w:hAnsi="Tahoma" w:cs="Tahoma"/>
          <w:szCs w:val="24"/>
        </w:rPr>
        <w:t xml:space="preserve"> (Ensenada, Mexicali)</w:t>
      </w:r>
      <w:r w:rsidR="00512EF2">
        <w:rPr>
          <w:rFonts w:ascii="Tahoma" w:hAnsi="Tahoma" w:cs="Tahoma"/>
          <w:szCs w:val="24"/>
        </w:rPr>
        <w:t>.</w:t>
      </w:r>
    </w:p>
    <w:p w:rsidR="00DD3B6B" w:rsidRDefault="006275C2" w:rsidP="00385418">
      <w:pPr>
        <w:spacing w:after="480" w:line="480" w:lineRule="auto"/>
        <w:ind w:left="284" w:right="281"/>
        <w:jc w:val="both"/>
        <w:rPr>
          <w:rFonts w:ascii="Tahoma" w:hAnsi="Tahoma" w:cs="Tahoma"/>
          <w:sz w:val="24"/>
          <w:szCs w:val="24"/>
        </w:rPr>
      </w:pPr>
      <w:r w:rsidRPr="006275C2">
        <w:rPr>
          <w:rFonts w:ascii="Tahoma" w:hAnsi="Tahoma" w:cs="Tahoma"/>
          <w:sz w:val="24"/>
          <w:szCs w:val="24"/>
        </w:rPr>
        <w:t xml:space="preserve">Para revisar las participaciones es necesario precisar qué papel juegan ahora los congresos locales, ya que son ellos, quienes definen el destino del presupuesto estatal, esto es, de los recursos de libre disposición de los estados y municipios; ya que las participaciones no tienen un destino específico, se pueden usar para gasto corriente, para los subsidios como los de educación media y superior, en más para pagar los gastos del sistema estatal de educación básica, las nóminas de dependencias estatales de nivel central y organismos desconcentrados o descentralizados, los </w:t>
      </w:r>
      <w:r w:rsidRPr="007B46D3">
        <w:rPr>
          <w:rFonts w:ascii="Tahoma" w:hAnsi="Tahoma" w:cs="Tahoma"/>
          <w:i/>
          <w:sz w:val="24"/>
          <w:szCs w:val="24"/>
        </w:rPr>
        <w:t>pari passus,</w:t>
      </w:r>
      <w:r w:rsidRPr="006275C2">
        <w:rPr>
          <w:rFonts w:ascii="Tahoma" w:hAnsi="Tahoma" w:cs="Tahoma"/>
          <w:sz w:val="24"/>
          <w:szCs w:val="24"/>
        </w:rPr>
        <w:t xml:space="preserve"> las participaciones a los municipios, etcétera.</w:t>
      </w:r>
    </w:p>
    <w:p w:rsidR="002A7940" w:rsidRDefault="002A7940" w:rsidP="00385418">
      <w:pPr>
        <w:spacing w:after="480" w:line="480" w:lineRule="auto"/>
        <w:ind w:left="284" w:right="281"/>
        <w:jc w:val="both"/>
        <w:rPr>
          <w:rFonts w:ascii="Tahoma" w:hAnsi="Tahoma" w:cs="Tahoma"/>
          <w:szCs w:val="24"/>
          <w:lang w:val="es-ES" w:eastAsia="es-MX"/>
        </w:rPr>
      </w:pPr>
      <w:r>
        <w:rPr>
          <w:rFonts w:ascii="Tahoma" w:hAnsi="Tahoma" w:cs="Tahoma"/>
          <w:sz w:val="24"/>
          <w:szCs w:val="24"/>
        </w:rPr>
        <w:t xml:space="preserve">De las Recomendaciones de la Evaluación 2017, se desprendieron los siguientes compromisos: </w:t>
      </w:r>
    </w:p>
    <w:tbl>
      <w:tblPr>
        <w:tblStyle w:val="Tabladelista4-nfasis21"/>
        <w:tblW w:w="8931" w:type="dxa"/>
        <w:tblInd w:w="250" w:type="dxa"/>
        <w:tblLayout w:type="fixed"/>
        <w:tblLook w:val="04A0" w:firstRow="1" w:lastRow="0" w:firstColumn="1" w:lastColumn="0" w:noHBand="0" w:noVBand="1"/>
      </w:tblPr>
      <w:tblGrid>
        <w:gridCol w:w="567"/>
        <w:gridCol w:w="2439"/>
        <w:gridCol w:w="3827"/>
        <w:gridCol w:w="2098"/>
      </w:tblGrid>
      <w:tr w:rsidR="002A7940" w:rsidRPr="002A7940" w:rsidTr="00512EF2">
        <w:trPr>
          <w:cnfStyle w:val="100000000000" w:firstRow="1" w:lastRow="0" w:firstColumn="0" w:lastColumn="0" w:oddVBand="0" w:evenVBand="0" w:oddHBand="0" w:evenHBand="0" w:firstRowFirstColumn="0" w:firstRowLastColumn="0" w:lastRowFirstColumn="0" w:lastRowLastColumn="0"/>
          <w:trHeight w:val="1049"/>
          <w:tblHeader/>
        </w:trPr>
        <w:tc>
          <w:tcPr>
            <w:cnfStyle w:val="001000000000" w:firstRow="0" w:lastRow="0" w:firstColumn="1" w:lastColumn="0" w:oddVBand="0" w:evenVBand="0" w:oddHBand="0" w:evenHBand="0" w:firstRowFirstColumn="0" w:firstRowLastColumn="0" w:lastRowFirstColumn="0" w:lastRowLastColumn="0"/>
            <w:tcW w:w="567" w:type="dxa"/>
            <w:vAlign w:val="center"/>
          </w:tcPr>
          <w:p w:rsidR="002A7940" w:rsidRPr="002A7940" w:rsidRDefault="002A7940" w:rsidP="00A9093E">
            <w:pPr>
              <w:spacing w:after="120"/>
              <w:ind w:left="57" w:right="281"/>
              <w:jc w:val="center"/>
              <w:rPr>
                <w:rFonts w:ascii="Tahoma" w:eastAsia="Times New Roman" w:hAnsi="Tahoma" w:cs="Tahoma"/>
                <w:color w:val="000000"/>
                <w:szCs w:val="24"/>
                <w:lang w:eastAsia="es-MX"/>
              </w:rPr>
            </w:pPr>
          </w:p>
        </w:tc>
        <w:tc>
          <w:tcPr>
            <w:tcW w:w="2439" w:type="dxa"/>
            <w:vAlign w:val="center"/>
          </w:tcPr>
          <w:p w:rsidR="002A7940" w:rsidRPr="00512EF2" w:rsidRDefault="002A7940" w:rsidP="00512EF2">
            <w:pPr>
              <w:ind w:right="34"/>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Cs w:val="24"/>
                <w:lang w:eastAsia="es-MX"/>
              </w:rPr>
            </w:pPr>
            <w:r w:rsidRPr="00512EF2">
              <w:rPr>
                <w:rFonts w:ascii="Tahoma" w:eastAsia="Times New Roman" w:hAnsi="Tahoma" w:cs="Tahoma"/>
                <w:szCs w:val="24"/>
                <w:lang w:eastAsia="es-MX"/>
              </w:rPr>
              <w:t>Recomendación</w:t>
            </w:r>
          </w:p>
        </w:tc>
        <w:tc>
          <w:tcPr>
            <w:tcW w:w="3827" w:type="dxa"/>
            <w:vAlign w:val="center"/>
          </w:tcPr>
          <w:p w:rsidR="002A7940" w:rsidRPr="00512EF2" w:rsidRDefault="002A7940" w:rsidP="00512EF2">
            <w:pPr>
              <w:ind w:right="34"/>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Cs w:val="24"/>
                <w:lang w:eastAsia="es-MX"/>
              </w:rPr>
            </w:pPr>
            <w:r w:rsidRPr="00512EF2">
              <w:rPr>
                <w:rFonts w:ascii="Tahoma" w:eastAsia="Times New Roman" w:hAnsi="Tahoma" w:cs="Tahoma"/>
                <w:szCs w:val="24"/>
                <w:lang w:eastAsia="es-MX"/>
              </w:rPr>
              <w:t>Seguimiento</w:t>
            </w:r>
          </w:p>
        </w:tc>
        <w:tc>
          <w:tcPr>
            <w:tcW w:w="2098" w:type="dxa"/>
            <w:vAlign w:val="center"/>
          </w:tcPr>
          <w:p w:rsidR="002A7940" w:rsidRPr="00512EF2" w:rsidRDefault="007B46D3" w:rsidP="00512EF2">
            <w:pPr>
              <w:ind w:left="34"/>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Cs w:val="24"/>
                <w:lang w:eastAsia="es-MX"/>
              </w:rPr>
            </w:pPr>
            <w:r w:rsidRPr="00512EF2">
              <w:rPr>
                <w:rFonts w:ascii="Tahoma" w:eastAsia="Times New Roman" w:hAnsi="Tahoma" w:cs="Tahoma"/>
                <w:szCs w:val="24"/>
                <w:lang w:eastAsia="es-MX"/>
              </w:rPr>
              <w:t>Observación al</w:t>
            </w:r>
            <w:r w:rsidR="002A7940" w:rsidRPr="00512EF2">
              <w:rPr>
                <w:rFonts w:ascii="Tahoma" w:eastAsia="Times New Roman" w:hAnsi="Tahoma" w:cs="Tahoma"/>
                <w:szCs w:val="24"/>
                <w:lang w:eastAsia="es-MX"/>
              </w:rPr>
              <w:t xml:space="preserve"> Cumplimiento Evaluación 2017</w:t>
            </w:r>
          </w:p>
        </w:tc>
      </w:tr>
      <w:tr w:rsidR="00027D8B" w:rsidRPr="002A7940" w:rsidTr="00F97C88">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027D8B" w:rsidRPr="002A7940" w:rsidRDefault="00027D8B" w:rsidP="00A9093E">
            <w:pPr>
              <w:spacing w:after="120"/>
              <w:ind w:left="57" w:right="281"/>
              <w:jc w:val="center"/>
              <w:rPr>
                <w:rFonts w:ascii="Tahoma" w:eastAsia="Times New Roman" w:hAnsi="Tahoma" w:cs="Tahoma"/>
                <w:color w:val="000000"/>
                <w:szCs w:val="24"/>
                <w:lang w:eastAsia="es-MX"/>
              </w:rPr>
            </w:pPr>
            <w:r w:rsidRPr="002A7940">
              <w:rPr>
                <w:rFonts w:ascii="Tahoma" w:eastAsia="Times New Roman" w:hAnsi="Tahoma" w:cs="Tahoma"/>
                <w:color w:val="000000"/>
                <w:szCs w:val="24"/>
                <w:lang w:eastAsia="es-MX"/>
              </w:rPr>
              <w:t>1</w:t>
            </w:r>
          </w:p>
        </w:tc>
        <w:tc>
          <w:tcPr>
            <w:tcW w:w="2439" w:type="dxa"/>
            <w:vAlign w:val="center"/>
            <w:hideMark/>
          </w:tcPr>
          <w:p w:rsidR="002A7940" w:rsidRPr="007D7020" w:rsidRDefault="00027D8B" w:rsidP="00F97C88">
            <w:pPr>
              <w:spacing w:after="120"/>
              <w:ind w:right="34"/>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Cs w:val="24"/>
                <w:lang w:eastAsia="es-MX"/>
              </w:rPr>
            </w:pPr>
            <w:r w:rsidRPr="007D7020">
              <w:rPr>
                <w:rFonts w:ascii="Tahoma" w:eastAsia="Times New Roman" w:hAnsi="Tahoma" w:cs="Tahoma"/>
                <w:b/>
                <w:color w:val="000000"/>
                <w:szCs w:val="24"/>
                <w:lang w:eastAsia="es-MX"/>
              </w:rPr>
              <w:t>Programático.</w:t>
            </w:r>
          </w:p>
          <w:p w:rsidR="00027D8B" w:rsidRPr="002A7940" w:rsidRDefault="00027D8B" w:rsidP="00F97C88">
            <w:pPr>
              <w:spacing w:after="120"/>
              <w:ind w:right="34"/>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sidRPr="002A7940">
              <w:rPr>
                <w:rFonts w:ascii="Tahoma" w:eastAsia="Times New Roman" w:hAnsi="Tahoma" w:cs="Tahoma"/>
                <w:color w:val="000000"/>
                <w:szCs w:val="24"/>
                <w:lang w:eastAsia="es-MX"/>
              </w:rPr>
              <w:t xml:space="preserve">Identificar en la Cuenta Pública, de Flujo de Efectivo, a qué Unidades Ejecutoras del Estado se le asignan los recursos del Ramo 28. </w:t>
            </w:r>
          </w:p>
        </w:tc>
        <w:tc>
          <w:tcPr>
            <w:tcW w:w="3827" w:type="dxa"/>
            <w:vAlign w:val="center"/>
            <w:hideMark/>
          </w:tcPr>
          <w:p w:rsidR="00970D7B" w:rsidRDefault="00027D8B" w:rsidP="00512EF2">
            <w:pPr>
              <w:spacing w:after="120"/>
              <w:ind w:right="34"/>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sidRPr="002A7940">
              <w:rPr>
                <w:rFonts w:ascii="Tahoma" w:eastAsia="Times New Roman" w:hAnsi="Tahoma" w:cs="Tahoma"/>
                <w:b/>
                <w:bCs/>
                <w:color w:val="000000"/>
                <w:szCs w:val="24"/>
                <w:lang w:eastAsia="es-MX"/>
              </w:rPr>
              <w:t>ATENDIDA</w:t>
            </w:r>
          </w:p>
          <w:p w:rsidR="00027D8B" w:rsidRPr="002A7940" w:rsidRDefault="00027D8B" w:rsidP="00F97C88">
            <w:pPr>
              <w:spacing w:after="120"/>
              <w:ind w:right="34"/>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sidRPr="002A7940">
              <w:rPr>
                <w:rFonts w:ascii="Tahoma" w:eastAsia="Times New Roman" w:hAnsi="Tahoma" w:cs="Tahoma"/>
                <w:color w:val="000000"/>
                <w:szCs w:val="24"/>
                <w:lang w:eastAsia="es-MX"/>
              </w:rPr>
              <w:t>Para el presupuesto 2018, por primera vez se incorporan las participaciones federales como una fuente de financiamiento (anteriormente formaban parte del "gasto corriente", mezclado con otros recursos), por lo que, ahora es posible darle un puntual seguimiento toda vez que esta fuente de financiamiento es asignada a unidades ejecutoras, con sus respectivas metas.</w:t>
            </w:r>
          </w:p>
        </w:tc>
        <w:tc>
          <w:tcPr>
            <w:tcW w:w="2098" w:type="dxa"/>
            <w:vAlign w:val="center"/>
            <w:hideMark/>
          </w:tcPr>
          <w:p w:rsidR="007B46D3" w:rsidRPr="002A7940" w:rsidRDefault="00F97C88" w:rsidP="00F97C88">
            <w:pPr>
              <w:spacing w:after="120"/>
              <w:ind w:left="34"/>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Pr>
                <w:rFonts w:ascii="Tahoma" w:eastAsia="Times New Roman" w:hAnsi="Tahoma" w:cs="Tahoma"/>
                <w:color w:val="000000"/>
                <w:szCs w:val="24"/>
                <w:lang w:eastAsia="es-MX"/>
              </w:rPr>
              <w:t>S</w:t>
            </w:r>
            <w:r w:rsidR="007B46D3">
              <w:rPr>
                <w:rFonts w:ascii="Tahoma" w:eastAsia="Times New Roman" w:hAnsi="Tahoma" w:cs="Tahoma"/>
                <w:color w:val="000000"/>
                <w:szCs w:val="24"/>
                <w:lang w:eastAsia="es-MX"/>
              </w:rPr>
              <w:t>olo se da seguimiento al Importe transferido a los Municipios</w:t>
            </w:r>
          </w:p>
        </w:tc>
      </w:tr>
      <w:tr w:rsidR="002A7940" w:rsidRPr="002A7940" w:rsidTr="00F97C88">
        <w:trPr>
          <w:trHeight w:val="1449"/>
        </w:trPr>
        <w:tc>
          <w:tcPr>
            <w:cnfStyle w:val="001000000000" w:firstRow="0" w:lastRow="0" w:firstColumn="1" w:lastColumn="0" w:oddVBand="0" w:evenVBand="0" w:oddHBand="0" w:evenHBand="0" w:firstRowFirstColumn="0" w:firstRowLastColumn="0" w:lastRowFirstColumn="0" w:lastRowLastColumn="0"/>
            <w:tcW w:w="567" w:type="dxa"/>
            <w:vAlign w:val="center"/>
          </w:tcPr>
          <w:p w:rsidR="002A7940" w:rsidRPr="002A7940" w:rsidRDefault="002A7940" w:rsidP="00A9093E">
            <w:pPr>
              <w:spacing w:after="120"/>
              <w:ind w:left="57" w:right="281"/>
              <w:jc w:val="center"/>
              <w:rPr>
                <w:rFonts w:ascii="Tahoma" w:eastAsia="Times New Roman" w:hAnsi="Tahoma" w:cs="Tahoma"/>
                <w:color w:val="000000"/>
                <w:szCs w:val="24"/>
                <w:lang w:eastAsia="es-MX"/>
              </w:rPr>
            </w:pPr>
            <w:r w:rsidRPr="002A7940">
              <w:rPr>
                <w:rFonts w:ascii="Tahoma" w:eastAsia="Times New Roman" w:hAnsi="Tahoma" w:cs="Tahoma"/>
                <w:color w:val="000000"/>
                <w:szCs w:val="24"/>
                <w:lang w:eastAsia="es-MX"/>
              </w:rPr>
              <w:t>2</w:t>
            </w:r>
          </w:p>
        </w:tc>
        <w:tc>
          <w:tcPr>
            <w:tcW w:w="2439" w:type="dxa"/>
            <w:vAlign w:val="center"/>
          </w:tcPr>
          <w:p w:rsidR="002A7940" w:rsidRPr="007D7020" w:rsidRDefault="002A7940" w:rsidP="00F97C88">
            <w:pPr>
              <w:spacing w:after="120"/>
              <w:ind w:right="34"/>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Cs w:val="24"/>
                <w:lang w:eastAsia="es-MX"/>
              </w:rPr>
            </w:pPr>
            <w:r w:rsidRPr="007D7020">
              <w:rPr>
                <w:rFonts w:ascii="Tahoma" w:eastAsia="Times New Roman" w:hAnsi="Tahoma" w:cs="Tahoma"/>
                <w:b/>
                <w:color w:val="000000"/>
                <w:szCs w:val="24"/>
                <w:lang w:eastAsia="es-MX"/>
              </w:rPr>
              <w:t>Presupuestal</w:t>
            </w:r>
            <w:r w:rsidR="007D7020" w:rsidRPr="007D7020">
              <w:rPr>
                <w:rFonts w:ascii="Tahoma" w:eastAsia="Times New Roman" w:hAnsi="Tahoma" w:cs="Tahoma"/>
                <w:b/>
                <w:color w:val="000000"/>
                <w:szCs w:val="24"/>
                <w:lang w:eastAsia="es-MX"/>
              </w:rPr>
              <w:t>.</w:t>
            </w:r>
          </w:p>
          <w:p w:rsidR="002A7940" w:rsidRPr="002A7940" w:rsidRDefault="002A7940" w:rsidP="00F97C88">
            <w:pPr>
              <w:spacing w:after="120"/>
              <w:ind w:right="34"/>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Cs w:val="24"/>
                <w:lang w:eastAsia="es-MX"/>
              </w:rPr>
            </w:pPr>
            <w:r w:rsidRPr="002A7940">
              <w:rPr>
                <w:rFonts w:ascii="Tahoma" w:eastAsia="Times New Roman" w:hAnsi="Tahoma" w:cs="Tahoma"/>
                <w:color w:val="000000"/>
                <w:szCs w:val="24"/>
                <w:lang w:eastAsia="es-MX"/>
              </w:rPr>
              <w:t>Gestionar el registro contable de las Participaciones Federales en su cuenta Pública, clasificación económica de los Municipios, con la finalidad de mejorar la transparencia del Ramo 28 y reflejar cuanto recurso proveniente de este recurso se recaudó para cada ayuntamiento</w:t>
            </w:r>
          </w:p>
        </w:tc>
        <w:tc>
          <w:tcPr>
            <w:tcW w:w="3827" w:type="dxa"/>
            <w:vAlign w:val="center"/>
          </w:tcPr>
          <w:p w:rsidR="002A7940" w:rsidRDefault="002A7940" w:rsidP="007D7020">
            <w:pPr>
              <w:spacing w:after="120"/>
              <w:ind w:right="34"/>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Cs w:val="24"/>
                <w:lang w:eastAsia="es-MX"/>
              </w:rPr>
            </w:pPr>
            <w:r>
              <w:rPr>
                <w:rFonts w:ascii="Tahoma" w:eastAsia="Times New Roman" w:hAnsi="Tahoma" w:cs="Tahoma"/>
                <w:b/>
                <w:bCs/>
                <w:color w:val="000000"/>
                <w:szCs w:val="24"/>
                <w:lang w:eastAsia="es-MX"/>
              </w:rPr>
              <w:t>NO SE ATENDIÓ</w:t>
            </w:r>
          </w:p>
          <w:p w:rsidR="002A7940" w:rsidRPr="002A7940" w:rsidRDefault="002A7940" w:rsidP="007D7020">
            <w:pPr>
              <w:spacing w:after="120"/>
              <w:ind w:right="34"/>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Cs w:val="24"/>
                <w:lang w:eastAsia="es-MX"/>
              </w:rPr>
            </w:pPr>
            <w:r>
              <w:rPr>
                <w:rFonts w:ascii="Tahoma" w:eastAsia="Times New Roman" w:hAnsi="Tahoma" w:cs="Tahoma"/>
                <w:bCs/>
                <w:color w:val="000000"/>
                <w:szCs w:val="24"/>
                <w:lang w:eastAsia="es-MX"/>
              </w:rPr>
              <w:t>Dada la naturaleza y constitución del recurso no es posible establecer mecanismos tan precisos de seguimiento, En virtud que estos se consideran recursos de libre disposición queda a discreción del Congreso Local previo análisis y validación de la Secretaría de Planeación y Finanzas el destino de los recursos atendiendo los temas prioritarios y Programas de la Propia Administración Estatal y Municipal.</w:t>
            </w:r>
          </w:p>
        </w:tc>
        <w:tc>
          <w:tcPr>
            <w:tcW w:w="2098" w:type="dxa"/>
            <w:vAlign w:val="center"/>
          </w:tcPr>
          <w:p w:rsidR="002A7940" w:rsidRPr="002A7940" w:rsidRDefault="007B46D3" w:rsidP="00F97C88">
            <w:pPr>
              <w:spacing w:after="120"/>
              <w:ind w:left="34"/>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Cs w:val="24"/>
                <w:lang w:eastAsia="es-MX"/>
              </w:rPr>
            </w:pPr>
            <w:r>
              <w:rPr>
                <w:rFonts w:ascii="Tahoma" w:eastAsia="Times New Roman" w:hAnsi="Tahoma" w:cs="Tahoma"/>
                <w:color w:val="000000"/>
                <w:szCs w:val="24"/>
                <w:lang w:eastAsia="es-MX"/>
              </w:rPr>
              <w:t>Resultará difícil para las administraciones Estatales fijar este tipo de mecanismos, no obstante es labor de la SPF, justificar y comprobar el ejercicio de los mismos</w:t>
            </w:r>
          </w:p>
        </w:tc>
      </w:tr>
      <w:tr w:rsidR="002A7940" w:rsidRPr="002A7940" w:rsidTr="00F97C88">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027D8B" w:rsidRPr="002A7940" w:rsidRDefault="00027D8B" w:rsidP="00A9093E">
            <w:pPr>
              <w:spacing w:after="120"/>
              <w:ind w:left="57" w:right="281"/>
              <w:jc w:val="center"/>
              <w:rPr>
                <w:rFonts w:ascii="Tahoma" w:eastAsia="Times New Roman" w:hAnsi="Tahoma" w:cs="Tahoma"/>
                <w:color w:val="000000"/>
                <w:szCs w:val="24"/>
                <w:lang w:eastAsia="es-MX"/>
              </w:rPr>
            </w:pPr>
            <w:r w:rsidRPr="002A7940">
              <w:rPr>
                <w:rFonts w:ascii="Tahoma" w:eastAsia="Times New Roman" w:hAnsi="Tahoma" w:cs="Tahoma"/>
                <w:color w:val="000000"/>
                <w:szCs w:val="24"/>
                <w:lang w:eastAsia="es-MX"/>
              </w:rPr>
              <w:t>3</w:t>
            </w:r>
          </w:p>
        </w:tc>
        <w:tc>
          <w:tcPr>
            <w:tcW w:w="2439" w:type="dxa"/>
            <w:vAlign w:val="center"/>
            <w:hideMark/>
          </w:tcPr>
          <w:p w:rsidR="00970D7B" w:rsidRPr="007D7020" w:rsidRDefault="00027D8B" w:rsidP="00F97C88">
            <w:pPr>
              <w:spacing w:after="120"/>
              <w:ind w:right="34"/>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Cs w:val="24"/>
                <w:lang w:eastAsia="es-MX"/>
              </w:rPr>
            </w:pPr>
            <w:r w:rsidRPr="007D7020">
              <w:rPr>
                <w:rFonts w:ascii="Tahoma" w:eastAsia="Times New Roman" w:hAnsi="Tahoma" w:cs="Tahoma"/>
                <w:b/>
                <w:color w:val="000000"/>
                <w:szCs w:val="24"/>
                <w:lang w:eastAsia="es-MX"/>
              </w:rPr>
              <w:t>Indicadores</w:t>
            </w:r>
            <w:r w:rsidR="007D7020" w:rsidRPr="007D7020">
              <w:rPr>
                <w:rFonts w:ascii="Tahoma" w:eastAsia="Times New Roman" w:hAnsi="Tahoma" w:cs="Tahoma"/>
                <w:b/>
                <w:color w:val="000000"/>
                <w:szCs w:val="24"/>
                <w:lang w:eastAsia="es-MX"/>
              </w:rPr>
              <w:t>.</w:t>
            </w:r>
          </w:p>
          <w:p w:rsidR="00027D8B" w:rsidRPr="002A7940" w:rsidRDefault="00027D8B" w:rsidP="00F97C88">
            <w:pPr>
              <w:spacing w:after="120"/>
              <w:ind w:right="34"/>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sidRPr="002A7940">
              <w:rPr>
                <w:rFonts w:ascii="Tahoma" w:eastAsia="Times New Roman" w:hAnsi="Tahoma" w:cs="Tahoma"/>
                <w:color w:val="000000"/>
                <w:szCs w:val="24"/>
                <w:lang w:eastAsia="es-MX"/>
              </w:rPr>
              <w:t>Diseñar indicadores de Eficiencia Presupuestal y de Impacto del Recurso del Ramo 28 al Gasto Corriente del Estado y de los Municipios. Por ejemplo: Avance Financiero en la Distribución de los Recursos del Ramo 28 Participaciones Federales a Entidades Federativas a los Ayuntamientos; Avance Financiero en el ejercicio de los recursos provenientes del Ramo 28 a las Dependencias y Entidades del Estado.</w:t>
            </w:r>
          </w:p>
        </w:tc>
        <w:tc>
          <w:tcPr>
            <w:tcW w:w="3827" w:type="dxa"/>
            <w:vAlign w:val="center"/>
            <w:hideMark/>
          </w:tcPr>
          <w:p w:rsidR="00970D7B" w:rsidRDefault="00027D8B" w:rsidP="007D7020">
            <w:pPr>
              <w:spacing w:after="120"/>
              <w:ind w:right="34"/>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Cs w:val="24"/>
                <w:lang w:eastAsia="es-MX"/>
              </w:rPr>
            </w:pPr>
            <w:r w:rsidRPr="002A7940">
              <w:rPr>
                <w:rFonts w:ascii="Tahoma" w:eastAsia="Times New Roman" w:hAnsi="Tahoma" w:cs="Tahoma"/>
                <w:b/>
                <w:bCs/>
                <w:color w:val="000000"/>
                <w:szCs w:val="24"/>
                <w:lang w:eastAsia="es-MX"/>
              </w:rPr>
              <w:t>ATENDIDA.</w:t>
            </w:r>
          </w:p>
          <w:p w:rsidR="00027D8B" w:rsidRPr="002A7940" w:rsidRDefault="00027D8B" w:rsidP="00F97C88">
            <w:pPr>
              <w:spacing w:after="120"/>
              <w:ind w:right="34"/>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Cs w:val="24"/>
                <w:lang w:eastAsia="es-MX"/>
              </w:rPr>
            </w:pPr>
            <w:r w:rsidRPr="002A7940">
              <w:rPr>
                <w:rFonts w:ascii="Tahoma" w:eastAsia="Times New Roman" w:hAnsi="Tahoma" w:cs="Tahoma"/>
                <w:color w:val="000000"/>
                <w:szCs w:val="24"/>
                <w:lang w:eastAsia="es-MX"/>
              </w:rPr>
              <w:t>Los indicadores de eficiencia presupuestal se atienden a través de la meta existente "dar seguimiento al ejercicio de los recursos de participaciones federales asignados a los Municipios" la cual se ubica en el Ramo 28 "Desarrollo Municipal", Programa 88 "Participaciones Municipales".</w:t>
            </w:r>
          </w:p>
        </w:tc>
        <w:tc>
          <w:tcPr>
            <w:tcW w:w="2098" w:type="dxa"/>
            <w:vAlign w:val="center"/>
            <w:hideMark/>
          </w:tcPr>
          <w:p w:rsidR="00027D8B" w:rsidRPr="002A7940" w:rsidRDefault="007B46D3" w:rsidP="00F97C88">
            <w:pPr>
              <w:spacing w:after="120"/>
              <w:ind w:left="34"/>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4"/>
                <w:lang w:eastAsia="es-MX"/>
              </w:rPr>
            </w:pPr>
            <w:r>
              <w:rPr>
                <w:rFonts w:ascii="Tahoma" w:eastAsia="Times New Roman" w:hAnsi="Tahoma" w:cs="Tahoma"/>
                <w:color w:val="000000"/>
                <w:szCs w:val="24"/>
                <w:lang w:eastAsia="es-MX"/>
              </w:rPr>
              <w:t>Aunque se crea en el</w:t>
            </w:r>
            <w:r w:rsidR="00027D8B" w:rsidRPr="002A7940">
              <w:rPr>
                <w:rFonts w:ascii="Tahoma" w:eastAsia="Times New Roman" w:hAnsi="Tahoma" w:cs="Tahoma"/>
                <w:color w:val="000000"/>
                <w:szCs w:val="24"/>
                <w:lang w:eastAsia="es-MX"/>
              </w:rPr>
              <w:t xml:space="preserve"> Programa Operativo Anual (POA) meta ""dar seguimiento al ejercicio de los recursos de participaciones federales asignados a los Municipios"</w:t>
            </w:r>
            <w:r>
              <w:rPr>
                <w:rFonts w:ascii="Tahoma" w:eastAsia="Times New Roman" w:hAnsi="Tahoma" w:cs="Tahoma"/>
                <w:color w:val="000000"/>
                <w:szCs w:val="24"/>
                <w:lang w:eastAsia="es-MX"/>
              </w:rPr>
              <w:t>. Solo es seguimiento al 20% del Total de las Participaciones transferidas a la Entidad</w:t>
            </w:r>
          </w:p>
        </w:tc>
      </w:tr>
    </w:tbl>
    <w:p w:rsidR="00F97C88" w:rsidRDefault="00F97C88" w:rsidP="00F97C88">
      <w:pPr>
        <w:spacing w:after="0" w:line="240" w:lineRule="auto"/>
        <w:jc w:val="both"/>
        <w:rPr>
          <w:rFonts w:ascii="Tahoma" w:hAnsi="Tahoma" w:cs="Tahoma"/>
          <w:sz w:val="24"/>
          <w:szCs w:val="24"/>
        </w:rPr>
      </w:pPr>
      <w:r>
        <w:rPr>
          <w:rFonts w:ascii="Tahoma" w:hAnsi="Tahoma" w:cs="Tahoma"/>
          <w:sz w:val="20"/>
        </w:rPr>
        <w:t>Fuente: Elaboración propia con información de: Aspectos Susceptibles de Mejora, Dirección de Evaluación del Desempeño, Secretaría de Planeación y Finanzas del Estado de Baja California, al Cierre del ejercicio 2017.</w:t>
      </w:r>
    </w:p>
    <w:p w:rsidR="00DD3B6B" w:rsidRDefault="00DD3B6B" w:rsidP="00385418">
      <w:pPr>
        <w:autoSpaceDE w:val="0"/>
        <w:autoSpaceDN w:val="0"/>
        <w:adjustRightInd w:val="0"/>
        <w:ind w:left="284" w:right="281"/>
        <w:contextualSpacing/>
        <w:jc w:val="both"/>
        <w:rPr>
          <w:rFonts w:ascii="Tahoma" w:hAnsi="Tahoma" w:cs="Tahoma"/>
          <w:szCs w:val="24"/>
          <w:lang w:eastAsia="es-MX"/>
        </w:rPr>
      </w:pPr>
    </w:p>
    <w:p w:rsidR="00F97C88" w:rsidRPr="00027D8B" w:rsidRDefault="00F97C88" w:rsidP="00385418">
      <w:pPr>
        <w:autoSpaceDE w:val="0"/>
        <w:autoSpaceDN w:val="0"/>
        <w:adjustRightInd w:val="0"/>
        <w:ind w:left="284" w:right="281"/>
        <w:contextualSpacing/>
        <w:jc w:val="both"/>
        <w:rPr>
          <w:rFonts w:ascii="Tahoma" w:hAnsi="Tahoma" w:cs="Tahoma"/>
          <w:szCs w:val="24"/>
          <w:lang w:eastAsia="es-MX"/>
        </w:rPr>
      </w:pPr>
    </w:p>
    <w:p w:rsidR="007B46D3" w:rsidRDefault="007B46D3" w:rsidP="00385418">
      <w:pPr>
        <w:autoSpaceDE w:val="0"/>
        <w:autoSpaceDN w:val="0"/>
        <w:adjustRightInd w:val="0"/>
        <w:spacing w:after="480" w:line="480" w:lineRule="auto"/>
        <w:ind w:left="284" w:right="281"/>
        <w:jc w:val="both"/>
        <w:rPr>
          <w:rFonts w:ascii="Tahoma" w:hAnsi="Tahoma" w:cs="Tahoma"/>
          <w:sz w:val="24"/>
          <w:szCs w:val="24"/>
        </w:rPr>
      </w:pPr>
      <w:r>
        <w:rPr>
          <w:rFonts w:ascii="Tahoma" w:hAnsi="Tahoma" w:cs="Tahoma"/>
          <w:sz w:val="24"/>
          <w:szCs w:val="24"/>
        </w:rPr>
        <w:t>No es válido emitir una valoración del cumplimiento respecto a la Atención de las Recomendaciones de las Auditorias y Evaluaciones previas, ya que sería irresponsable valorar con un 66% del cumplimiento, es decir se atienden dos de tres recomendaciones.</w:t>
      </w:r>
    </w:p>
    <w:p w:rsidR="007B46D3" w:rsidRPr="007B46D3" w:rsidRDefault="007B46D3" w:rsidP="00385418">
      <w:pPr>
        <w:autoSpaceDE w:val="0"/>
        <w:autoSpaceDN w:val="0"/>
        <w:adjustRightInd w:val="0"/>
        <w:spacing w:after="480" w:line="480" w:lineRule="auto"/>
        <w:ind w:left="284" w:right="281"/>
        <w:jc w:val="both"/>
        <w:rPr>
          <w:rFonts w:ascii="Tahoma" w:hAnsi="Tahoma" w:cs="Tahoma"/>
          <w:sz w:val="24"/>
          <w:szCs w:val="24"/>
        </w:rPr>
      </w:pPr>
      <w:r>
        <w:rPr>
          <w:rFonts w:ascii="Tahoma" w:hAnsi="Tahoma" w:cs="Tahoma"/>
          <w:sz w:val="24"/>
          <w:szCs w:val="24"/>
        </w:rPr>
        <w:t>No obstante solo se cumplen parcialmente y las observaciones al respecto son coincidentes respecto a la necesidad de establecer mecanismos de seguimiento factibles a identificar el impacto directo en Programas, obras o Proyectos definidos en la Planeación Estatal para el ejercicio fiscal correspondiente.</w:t>
      </w:r>
    </w:p>
    <w:tbl>
      <w:tblPr>
        <w:tblStyle w:val="Tabladecuadrcula4-nfasis21"/>
        <w:tblW w:w="0" w:type="auto"/>
        <w:tblInd w:w="534" w:type="dxa"/>
        <w:tblLook w:val="04A0" w:firstRow="1" w:lastRow="0" w:firstColumn="1" w:lastColumn="0" w:noHBand="0" w:noVBand="1"/>
      </w:tblPr>
      <w:tblGrid>
        <w:gridCol w:w="4247"/>
        <w:gridCol w:w="4047"/>
      </w:tblGrid>
      <w:tr w:rsidR="007B46D3" w:rsidTr="00F97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Align w:val="center"/>
          </w:tcPr>
          <w:p w:rsidR="007B46D3" w:rsidRDefault="007B46D3" w:rsidP="007D7020">
            <w:pPr>
              <w:autoSpaceDE w:val="0"/>
              <w:autoSpaceDN w:val="0"/>
              <w:adjustRightInd w:val="0"/>
              <w:ind w:left="284" w:right="281"/>
              <w:contextualSpacing/>
              <w:jc w:val="center"/>
              <w:rPr>
                <w:rFonts w:ascii="Tahoma" w:hAnsi="Tahoma" w:cs="Tahoma"/>
                <w:sz w:val="24"/>
                <w:szCs w:val="24"/>
              </w:rPr>
            </w:pPr>
            <w:r>
              <w:rPr>
                <w:rFonts w:ascii="Tahoma" w:hAnsi="Tahoma" w:cs="Tahoma"/>
                <w:sz w:val="24"/>
                <w:szCs w:val="24"/>
              </w:rPr>
              <w:t>Respecto al Número de recomendaciones</w:t>
            </w:r>
          </w:p>
        </w:tc>
        <w:tc>
          <w:tcPr>
            <w:tcW w:w="4047" w:type="dxa"/>
            <w:vAlign w:val="center"/>
          </w:tcPr>
          <w:p w:rsidR="007B46D3" w:rsidRDefault="007B46D3" w:rsidP="007D7020">
            <w:pPr>
              <w:autoSpaceDE w:val="0"/>
              <w:autoSpaceDN w:val="0"/>
              <w:adjustRightInd w:val="0"/>
              <w:ind w:left="284" w:right="281"/>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 xml:space="preserve">Respecto al </w:t>
            </w:r>
            <w:r w:rsidR="00970D7B">
              <w:rPr>
                <w:rFonts w:ascii="Tahoma" w:hAnsi="Tahoma" w:cs="Tahoma"/>
                <w:sz w:val="24"/>
                <w:szCs w:val="24"/>
              </w:rPr>
              <w:t>alcance de las recomendaciones</w:t>
            </w:r>
          </w:p>
        </w:tc>
      </w:tr>
      <w:tr w:rsidR="007B46D3" w:rsidTr="00F97C88">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4247" w:type="dxa"/>
            <w:vAlign w:val="center"/>
          </w:tcPr>
          <w:p w:rsidR="007B46D3" w:rsidRPr="00970D7B" w:rsidRDefault="00970D7B" w:rsidP="00385418">
            <w:pPr>
              <w:autoSpaceDE w:val="0"/>
              <w:autoSpaceDN w:val="0"/>
              <w:adjustRightInd w:val="0"/>
              <w:ind w:left="284" w:right="281"/>
              <w:contextualSpacing/>
              <w:rPr>
                <w:rFonts w:ascii="Tahoma" w:hAnsi="Tahoma" w:cs="Tahoma"/>
                <w:color w:val="943634" w:themeColor="accent2" w:themeShade="BF"/>
                <w:sz w:val="36"/>
                <w:szCs w:val="24"/>
              </w:rPr>
            </w:pPr>
            <w:r>
              <w:rPr>
                <w:noProof/>
                <w:lang w:val="en-US"/>
              </w:rPr>
              <w:drawing>
                <wp:anchor distT="0" distB="0" distL="114300" distR="114300" simplePos="0" relativeHeight="251698688" behindDoc="0" locked="0" layoutInCell="1" allowOverlap="1" wp14:anchorId="1B0B1965" wp14:editId="13D9E4F3">
                  <wp:simplePos x="0" y="0"/>
                  <wp:positionH relativeFrom="margin">
                    <wp:posOffset>1779905</wp:posOffset>
                  </wp:positionH>
                  <wp:positionV relativeFrom="paragraph">
                    <wp:posOffset>-87630</wp:posOffset>
                  </wp:positionV>
                  <wp:extent cx="784860" cy="798830"/>
                  <wp:effectExtent l="0" t="0" r="0" b="0"/>
                  <wp:wrapNone/>
                  <wp:docPr id="57" name="Imagen 57" descr="Image result for grafica y 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fica y tache"/>
                          <pic:cNvPicPr>
                            <a:picLocks noChangeAspect="1" noChangeArrowheads="1"/>
                          </pic:cNvPicPr>
                        </pic:nvPicPr>
                        <pic:blipFill rotWithShape="1">
                          <a:blip r:embed="rId44" cstate="print">
                            <a:duotone>
                              <a:prstClr val="black"/>
                              <a:srgbClr val="FFC000">
                                <a:tint val="45000"/>
                                <a:satMod val="400000"/>
                              </a:srgbClr>
                            </a:duotone>
                            <a:extLst>
                              <a:ext uri="{28A0092B-C50C-407E-A947-70E740481C1C}">
                                <a14:useLocalDpi xmlns:a14="http://schemas.microsoft.com/office/drawing/2010/main" val="0"/>
                              </a:ext>
                            </a:extLst>
                          </a:blip>
                          <a:srcRect l="18343" t="14201" r="17751" b="20414"/>
                          <a:stretch/>
                        </pic:blipFill>
                        <pic:spPr bwMode="auto">
                          <a:xfrm>
                            <a:off x="0" y="0"/>
                            <a:ext cx="784860" cy="798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0D7B">
              <w:rPr>
                <w:rFonts w:ascii="Tahoma" w:hAnsi="Tahoma" w:cs="Tahoma"/>
                <w:color w:val="943634" w:themeColor="accent2" w:themeShade="BF"/>
                <w:sz w:val="36"/>
                <w:szCs w:val="24"/>
              </w:rPr>
              <w:t>66%</w:t>
            </w:r>
          </w:p>
        </w:tc>
        <w:tc>
          <w:tcPr>
            <w:tcW w:w="4047" w:type="dxa"/>
            <w:vAlign w:val="center"/>
          </w:tcPr>
          <w:p w:rsidR="007B46D3" w:rsidRPr="00970D7B" w:rsidRDefault="00970D7B" w:rsidP="00385418">
            <w:pPr>
              <w:autoSpaceDE w:val="0"/>
              <w:autoSpaceDN w:val="0"/>
              <w:adjustRightInd w:val="0"/>
              <w:ind w:left="284" w:right="281"/>
              <w:contextualSpacing/>
              <w:cnfStyle w:val="000000100000" w:firstRow="0" w:lastRow="0" w:firstColumn="0" w:lastColumn="0" w:oddVBand="0" w:evenVBand="0" w:oddHBand="1" w:evenHBand="0" w:firstRowFirstColumn="0" w:firstRowLastColumn="0" w:lastRowFirstColumn="0" w:lastRowLastColumn="0"/>
              <w:rPr>
                <w:rFonts w:ascii="Tahoma" w:hAnsi="Tahoma" w:cs="Tahoma"/>
                <w:b/>
                <w:color w:val="943634" w:themeColor="accent2" w:themeShade="BF"/>
                <w:sz w:val="36"/>
                <w:szCs w:val="24"/>
              </w:rPr>
            </w:pPr>
            <w:r>
              <w:rPr>
                <w:noProof/>
                <w:lang w:val="en-US"/>
              </w:rPr>
              <w:drawing>
                <wp:anchor distT="0" distB="0" distL="114300" distR="114300" simplePos="0" relativeHeight="251696640" behindDoc="0" locked="0" layoutInCell="1" allowOverlap="1" wp14:anchorId="29310D07" wp14:editId="59CD9BB6">
                  <wp:simplePos x="0" y="0"/>
                  <wp:positionH relativeFrom="margin">
                    <wp:posOffset>1531620</wp:posOffset>
                  </wp:positionH>
                  <wp:positionV relativeFrom="paragraph">
                    <wp:posOffset>-64770</wp:posOffset>
                  </wp:positionV>
                  <wp:extent cx="784860" cy="798830"/>
                  <wp:effectExtent l="0" t="0" r="0" b="0"/>
                  <wp:wrapNone/>
                  <wp:docPr id="56" name="Imagen 56" descr="Image result for grafica y 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fica y tach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343" t="14201" r="17751" b="20414"/>
                          <a:stretch/>
                        </pic:blipFill>
                        <pic:spPr bwMode="auto">
                          <a:xfrm>
                            <a:off x="0" y="0"/>
                            <a:ext cx="784860" cy="798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0D7B">
              <w:rPr>
                <w:rFonts w:ascii="Tahoma" w:hAnsi="Tahoma" w:cs="Tahoma"/>
                <w:b/>
                <w:color w:val="943634" w:themeColor="accent2" w:themeShade="BF"/>
                <w:sz w:val="36"/>
                <w:szCs w:val="24"/>
              </w:rPr>
              <w:t>50%</w:t>
            </w:r>
          </w:p>
        </w:tc>
      </w:tr>
    </w:tbl>
    <w:p w:rsidR="00F97C88" w:rsidRDefault="00F97C88" w:rsidP="00F97C88">
      <w:pPr>
        <w:spacing w:after="0" w:line="240" w:lineRule="auto"/>
        <w:jc w:val="both"/>
        <w:rPr>
          <w:rFonts w:ascii="Tahoma" w:hAnsi="Tahoma" w:cs="Tahoma"/>
          <w:sz w:val="24"/>
          <w:szCs w:val="24"/>
        </w:rPr>
      </w:pPr>
      <w:r>
        <w:rPr>
          <w:rFonts w:ascii="Tahoma" w:hAnsi="Tahoma" w:cs="Tahoma"/>
          <w:sz w:val="20"/>
        </w:rPr>
        <w:t>Fuente: Elaboración propia con información de: Aspectos Susceptibles de Mejora, Dirección de Evaluación del Desempeño, Secretaría de Planeación y Finanzas del Estado de Baja California, al Cierre del ejercicio 2017.</w:t>
      </w:r>
    </w:p>
    <w:p w:rsidR="00F97C88" w:rsidRDefault="00F97C88" w:rsidP="00F97C88">
      <w:pPr>
        <w:autoSpaceDE w:val="0"/>
        <w:autoSpaceDN w:val="0"/>
        <w:adjustRightInd w:val="0"/>
        <w:spacing w:after="480" w:line="480" w:lineRule="auto"/>
        <w:ind w:right="281"/>
        <w:contextualSpacing/>
        <w:jc w:val="both"/>
        <w:rPr>
          <w:rFonts w:ascii="Tahoma" w:hAnsi="Tahoma" w:cs="Tahoma"/>
          <w:sz w:val="24"/>
          <w:szCs w:val="24"/>
        </w:rPr>
      </w:pPr>
    </w:p>
    <w:p w:rsidR="00F97C88" w:rsidRDefault="00F97C88" w:rsidP="00F97C88">
      <w:pPr>
        <w:autoSpaceDE w:val="0"/>
        <w:autoSpaceDN w:val="0"/>
        <w:adjustRightInd w:val="0"/>
        <w:spacing w:after="480" w:line="480" w:lineRule="auto"/>
        <w:ind w:right="281"/>
        <w:contextualSpacing/>
        <w:jc w:val="both"/>
        <w:rPr>
          <w:rFonts w:ascii="Tahoma" w:hAnsi="Tahoma" w:cs="Tahoma"/>
          <w:sz w:val="24"/>
          <w:szCs w:val="24"/>
        </w:rPr>
      </w:pPr>
    </w:p>
    <w:p w:rsidR="00F309BF" w:rsidRPr="007B46D3" w:rsidRDefault="00F309BF" w:rsidP="00385418">
      <w:pPr>
        <w:autoSpaceDE w:val="0"/>
        <w:autoSpaceDN w:val="0"/>
        <w:adjustRightInd w:val="0"/>
        <w:spacing w:after="480" w:line="480" w:lineRule="auto"/>
        <w:ind w:left="284" w:right="281"/>
        <w:contextualSpacing/>
        <w:jc w:val="both"/>
        <w:rPr>
          <w:rFonts w:ascii="Tahoma" w:hAnsi="Tahoma" w:cs="Tahoma"/>
          <w:sz w:val="24"/>
          <w:szCs w:val="24"/>
        </w:rPr>
      </w:pPr>
      <w:r w:rsidRPr="007B46D3">
        <w:rPr>
          <w:rFonts w:ascii="Tahoma" w:hAnsi="Tahoma" w:cs="Tahoma"/>
          <w:sz w:val="24"/>
          <w:szCs w:val="24"/>
        </w:rPr>
        <w:br w:type="page"/>
      </w: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9C4451" w:rsidP="00573B70">
      <w:pPr>
        <w:autoSpaceDE w:val="0"/>
        <w:autoSpaceDN w:val="0"/>
        <w:adjustRightInd w:val="0"/>
        <w:contextualSpacing/>
        <w:jc w:val="both"/>
        <w:rPr>
          <w:rFonts w:ascii="Tahoma" w:hAnsi="Tahoma" w:cs="Tahoma"/>
          <w:szCs w:val="24"/>
          <w:lang w:val="es-ES" w:eastAsia="es-MX"/>
        </w:rPr>
      </w:pPr>
      <w:r>
        <w:rPr>
          <w:noProof/>
          <w:lang w:val="en-US"/>
        </w:rPr>
        <w:drawing>
          <wp:anchor distT="0" distB="0" distL="114300" distR="114300" simplePos="0" relativeHeight="251720192" behindDoc="1" locked="0" layoutInCell="1" allowOverlap="1" wp14:anchorId="3FDB6A9C" wp14:editId="5F95C62D">
            <wp:simplePos x="0" y="0"/>
            <wp:positionH relativeFrom="column">
              <wp:posOffset>564515</wp:posOffset>
            </wp:positionH>
            <wp:positionV relativeFrom="paragraph">
              <wp:posOffset>118110</wp:posOffset>
            </wp:positionV>
            <wp:extent cx="4295775" cy="3006090"/>
            <wp:effectExtent l="0" t="0" r="9525" b="3810"/>
            <wp:wrapNone/>
            <wp:docPr id="68" name="Imagen 68" descr="Resultado de imagen para participaciones federales incr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rticipaciones federales increment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95775" cy="300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r>
        <w:rPr>
          <w:noProof/>
          <w:color w:val="EEECE1" w:themeColor="background2"/>
          <w:lang w:val="en-US"/>
        </w:rPr>
        <mc:AlternateContent>
          <mc:Choice Requires="wps">
            <w:drawing>
              <wp:anchor distT="0" distB="0" distL="114300" distR="114300" simplePos="0" relativeHeight="251662848" behindDoc="0" locked="0" layoutInCell="1" allowOverlap="1" wp14:anchorId="0FE08E95" wp14:editId="34CAA2A0">
                <wp:simplePos x="0" y="0"/>
                <wp:positionH relativeFrom="column">
                  <wp:posOffset>1546860</wp:posOffset>
                </wp:positionH>
                <wp:positionV relativeFrom="paragraph">
                  <wp:posOffset>1252220</wp:posOffset>
                </wp:positionV>
                <wp:extent cx="4678045" cy="2458085"/>
                <wp:effectExtent l="0" t="0" r="27305" b="18415"/>
                <wp:wrapNone/>
                <wp:docPr id="10" name="10 Rectángulo redondeado"/>
                <wp:cNvGraphicFramePr/>
                <a:graphic xmlns:a="http://schemas.openxmlformats.org/drawingml/2006/main">
                  <a:graphicData uri="http://schemas.microsoft.com/office/word/2010/wordprocessingShape">
                    <wps:wsp>
                      <wps:cNvSpPr/>
                      <wps:spPr>
                        <a:xfrm>
                          <a:off x="0" y="0"/>
                          <a:ext cx="4678045" cy="2458085"/>
                        </a:xfrm>
                        <a:prstGeom prst="roundRect">
                          <a:avLst/>
                        </a:prstGeom>
                        <a:solidFill>
                          <a:srgbClr val="1E1E14"/>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5.</w:t>
                            </w:r>
                            <w:r w:rsidRPr="00DD3B6B">
                              <w:rPr>
                                <w:color w:val="FFFFFF" w:themeColor="background1"/>
                                <w:sz w:val="48"/>
                              </w:rPr>
                              <w:tab/>
                              <w:t>Conclusiones y recomendaciones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E08E95" id="10 Rectángulo redondeado" o:spid="_x0000_s1038" style="position:absolute;left:0;text-align:left;margin-left:121.8pt;margin-top:98.6pt;width:368.35pt;height:19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l9pwIAAJUFAAAOAAAAZHJzL2Uyb0RvYy54bWysVNtu2zAMfR+wfxD0vtoJnDYL6hRBuw4D&#10;irZoO/RZkeXYgCxqlBIn+5t9y36slHxp0BV7GJYAsiSShxcd8vxi32i2U+hqMDmfnKScKSOhqM0m&#10;59+frj/NOXNemEJoMCrnB+X4xfLjh/PWLtQUKtCFQkYgxi1am/PKe7tIEicr1Qh3AlYZEpaAjfB0&#10;xE1SoGgJvdHJNE1PkxawsAhSOUe3V52QLyN+WSrp78rSKc90zik2H1eM6zqsyfJcLDYobFXLPgzx&#10;D1E0ojbkdIS6El6wLdZ/QDW1RHBQ+hMJTQJlWUsVc6BsJumbbB4rYVXMhYrj7Fgm9/9g5e3uHlld&#10;0NtReYxo6I0mKXugwv3+ZTZbDQxVAaZQooBQrda6BRk92nvsT462IfV9iU34UlJsHyt8GCus9p5J&#10;usxOz+ZpNuNMkmyazebpfBZQk1dzi85/VdCwsMk5wtYUIZxYXrG7cb7TH/SCSwe6Lq5rreMBN+tL&#10;jWwn6M0nX+if9S6O1JKQRxd53PmDVsFYmwdVUj0o1mn0GJmoRjwhpTJ+0okqUajOzSyl3+AlcDdY&#10;xLQiYEAuKbwRuwcYNDuQAbvLr9cPpioSeTRO/xZYZzxaRM9g/Gjc1AbwPQBNWfWeO30K/6g0Yev3&#10;633HlWlQDVdrKA5EIISus5yV1zW9241w/l4gtRKxisaDv6Ol1NDmHPodZxXgz/fugz4xnKSctdSa&#10;OXc/tgIVZ/qbIe5/nmRZ6OV4yGZnUzrgsWR9LDHb5hICE2gQWRm3Qd/rYVsiNM80RVbBK4mEkeQ7&#10;59LjcLj03cigOSTVahXVqH+t8Dfm0coAHgodKPm0fxZoe/J64v0tDG0sFm/o2+kGSwOrrYeyjtx+&#10;rWv/BNT7kUv9nArD5fgctV6n6fIFAAD//wMAUEsDBBQABgAIAAAAIQD7y9yG4AAAAAsBAAAPAAAA&#10;ZHJzL2Rvd25yZXYueG1sTI/BTsMwEETvSPyDtUjcqEPShiTEqaASFyQOhIqzG5sk1F4H203D37Oc&#10;4Liap5m39Xaxhs3ah9GhgNtVAkxj59SIvYD929NNASxEiUoah1rAtw6wbS4valkpd8ZXPbexZ1SC&#10;oZIChhinivPQDdrKsHKTRso+nLcy0ul7rrw8U7k1PE2SnFs5Ii0MctK7QXfH9mQF5LJ9+fRzuePp&#10;+95kfv46Pm6ehbi+Wh7ugUW9xD8YfvVJHRpyOrgTqsCMgHSd5YRSUN6lwIgoiyQDdhCwKdYZ8Kbm&#10;/39ofgAAAP//AwBQSwECLQAUAAYACAAAACEAtoM4kv4AAADhAQAAEwAAAAAAAAAAAAAAAAAAAAAA&#10;W0NvbnRlbnRfVHlwZXNdLnhtbFBLAQItABQABgAIAAAAIQA4/SH/1gAAAJQBAAALAAAAAAAAAAAA&#10;AAAAAC8BAABfcmVscy8ucmVsc1BLAQItABQABgAIAAAAIQBqPcl9pwIAAJUFAAAOAAAAAAAAAAAA&#10;AAAAAC4CAABkcnMvZTJvRG9jLnhtbFBLAQItABQABgAIAAAAIQD7y9yG4AAAAAsBAAAPAAAAAAAA&#10;AAAAAAAAAAEFAABkcnMvZG93bnJldi54bWxQSwUGAAAAAAQABADzAAAADgYAAAAA&#10;" fillcolor="#1e1e14" strokecolor="#243f60 [1604]" strokeweight="2pt">
                <v:textbox>
                  <w:txbxContent>
                    <w:p w:rsidR="00E0113E" w:rsidRDefault="00E0113E" w:rsidP="00DD3B6B">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DD3B6B">
                      <w:pPr>
                        <w:jc w:val="right"/>
                        <w:rPr>
                          <w:color w:val="FFFFFF" w:themeColor="background1"/>
                          <w:sz w:val="48"/>
                        </w:rPr>
                      </w:pPr>
                      <w:r w:rsidRPr="00DD3B6B">
                        <w:rPr>
                          <w:color w:val="FFFFFF" w:themeColor="background1"/>
                          <w:sz w:val="48"/>
                        </w:rPr>
                        <w:t>5.</w:t>
                      </w:r>
                      <w:r w:rsidRPr="00DD3B6B">
                        <w:rPr>
                          <w:color w:val="FFFFFF" w:themeColor="background1"/>
                          <w:sz w:val="48"/>
                        </w:rPr>
                        <w:tab/>
                        <w:t>Conclusiones y recomendaciones</w:t>
                      </w:r>
                    </w:p>
                  </w:txbxContent>
                </v:textbox>
              </v:roundrect>
            </w:pict>
          </mc:Fallback>
        </mc:AlternateContent>
      </w: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EF56E2" w:rsidP="00573B70">
      <w:pPr>
        <w:autoSpaceDE w:val="0"/>
        <w:autoSpaceDN w:val="0"/>
        <w:adjustRightInd w:val="0"/>
        <w:contextualSpacing/>
        <w:jc w:val="both"/>
        <w:rPr>
          <w:rFonts w:ascii="Tahoma" w:hAnsi="Tahoma" w:cs="Tahoma"/>
          <w:szCs w:val="24"/>
          <w:lang w:val="es-ES" w:eastAsia="es-MX"/>
        </w:rPr>
      </w:pPr>
      <w:r>
        <w:rPr>
          <w:noProof/>
          <w:color w:val="EEECE1" w:themeColor="background2"/>
          <w:lang w:val="en-US"/>
        </w:rPr>
        <mc:AlternateContent>
          <mc:Choice Requires="wps">
            <w:drawing>
              <wp:anchor distT="0" distB="0" distL="114300" distR="114300" simplePos="0" relativeHeight="251670016" behindDoc="0" locked="0" layoutInCell="1" allowOverlap="1" wp14:anchorId="5CCDAC50" wp14:editId="5958713F">
                <wp:simplePos x="0" y="0"/>
                <wp:positionH relativeFrom="column">
                  <wp:posOffset>1546860</wp:posOffset>
                </wp:positionH>
                <wp:positionV relativeFrom="paragraph">
                  <wp:posOffset>-105410</wp:posOffset>
                </wp:positionV>
                <wp:extent cx="4678045" cy="2458085"/>
                <wp:effectExtent l="0" t="0" r="27305" b="18415"/>
                <wp:wrapNone/>
                <wp:docPr id="4" name="4 Rectángulo redondeado"/>
                <wp:cNvGraphicFramePr/>
                <a:graphic xmlns:a="http://schemas.openxmlformats.org/drawingml/2006/main">
                  <a:graphicData uri="http://schemas.microsoft.com/office/word/2010/wordprocessingShape">
                    <wps:wsp>
                      <wps:cNvSpPr/>
                      <wps:spPr>
                        <a:xfrm>
                          <a:off x="0" y="0"/>
                          <a:ext cx="4678045" cy="2458085"/>
                        </a:xfrm>
                        <a:prstGeom prst="roundRect">
                          <a:avLst/>
                        </a:prstGeom>
                        <a:solidFill>
                          <a:srgbClr val="1E1E14"/>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EF56E2">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137C5E">
                            <w:pPr>
                              <w:jc w:val="right"/>
                              <w:rPr>
                                <w:color w:val="FFFFFF" w:themeColor="background1"/>
                                <w:sz w:val="48"/>
                              </w:rPr>
                            </w:pPr>
                            <w:r w:rsidRPr="00137C5E">
                              <w:rPr>
                                <w:color w:val="FFFFFF" w:themeColor="background1"/>
                                <w:sz w:val="48"/>
                              </w:rPr>
                              <w:t>5.</w:t>
                            </w:r>
                            <w:r w:rsidRPr="00137C5E">
                              <w:rPr>
                                <w:color w:val="FFFFFF" w:themeColor="background1"/>
                                <w:sz w:val="48"/>
                              </w:rPr>
                              <w:tab/>
                              <w:t>Conclusiones y recomendaciones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CDAC50" id="4 Rectángulo redondeado" o:spid="_x0000_s1039" style="position:absolute;left:0;text-align:left;margin-left:121.8pt;margin-top:-8.3pt;width:368.35pt;height:19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2DpwIAAJMFAAAOAAAAZHJzL2Uyb0RvYy54bWysVM1u2zAMvg/YOwi6r3Yyp82COkXQrsOA&#10;oi3aDj0rshwbkEWNUhJnb7Nn2YuNkn8adMUOwxJAJkXy449Inl+0jWY7ha4Gk/PJScqZMhKK2mxy&#10;/u3p+sOcM+eFKYQGo3J+UI5fLN+/O9/bhZpCBbpQyAjEuMXe5rzy3i6SxMlKNcKdgFWGhCVgIzyx&#10;uEkKFHtCb3QyTdPTZA9YWASpnKPbq07IlxG/LJX0d2XplGc65xSbjyfGcx3OZHkuFhsUtqplH4b4&#10;hygaURtyOkJdCS/YFus/oJpaIjgo/YmEJoGyrKWKOVA2k/RVNo+VsCrmQsVxdiyT+3+w8nZ3j6wu&#10;cp5xZkRDT5SxByrbr59ms9XAUBVgCiUKCLXaW7cgk0d7jz3niAyJtyU24UspsTbW9zDWV7WeSbrM&#10;Ts/maTbjTJJsms3m6XwWUJMXc4vOf1HQsEDkHGFrihBOLK7Y3Tjf6Q96waUDXRfXtdaRwc36UiPb&#10;CXrxyWf6Z72LI7Uk5NFFHil/0CoYa/OgSqoGxTqNHmMfqhFPSKmMn3SiShSqczNL6Td4CZ0bLGJa&#10;ETAglxTeiN0DDJodyIDd5dfrB1MV23g0Tv8WWGc8WkTPYPxo3NQG8C0ATVn1njt9Cv+oNIH07bqN&#10;nTL5GFTD1RqKA7UPQjdXzsrrmt7tRjh/L5AGiUaOloO/o6PUsM859BRnFeCPt+6DPvU3STnb02Dm&#10;3H3fClSc6a+GOv/TJMvCJEcmm51NicFjyfpYYrbNJYROoDVkZSSDvtcDWSI0z7RDVsEriYSR5Dvn&#10;0uPAXPpuYdAWkmq1imo0vVb4G/NoZQAPhQ4t+dQ+C7R983rq+1sYhlgsXrVvpxssDay2Hso69vZL&#10;XfsnoMmPvdRvqbBajvmo9bJLl78BAAD//wMAUEsDBBQABgAIAAAAIQAXwxzP4QAAAAsBAAAPAAAA&#10;ZHJzL2Rvd25yZXYueG1sTI/BTsMwDIbvSLxDZCRuW7KWla1rOsEkLkgcVibOWeO1ZU1Skqwrb485&#10;wc2WP/3+/mI7mZ6N6EPnrITFXABDWzvd2UbC4f1ltgIWorJa9c6ihG8MsC1vbwqVa3e1exyr2DAK&#10;sSFXEtoYh5zzULdoVJi7AS3dTs4bFWn1DddeXSnc9DwRIuNGdZY+tGrAXYv1uboYCZmq3j79uN7x&#10;5OPQp378Oj8vX6W8v5ueNsAiTvEPhl99UoeSnI7uYnVgvYTkIc0IlTBbZDQQsV6JFNhRQvoolsDL&#10;gv/vUP4AAAD//wMAUEsBAi0AFAAGAAgAAAAhALaDOJL+AAAA4QEAABMAAAAAAAAAAAAAAAAAAAAA&#10;AFtDb250ZW50X1R5cGVzXS54bWxQSwECLQAUAAYACAAAACEAOP0h/9YAAACUAQAACwAAAAAAAAAA&#10;AAAAAAAvAQAAX3JlbHMvLnJlbHNQSwECLQAUAAYACAAAACEA1nXNg6cCAACTBQAADgAAAAAAAAAA&#10;AAAAAAAuAgAAZHJzL2Uyb0RvYy54bWxQSwECLQAUAAYACAAAACEAF8Mcz+EAAAALAQAADwAAAAAA&#10;AAAAAAAAAAABBQAAZHJzL2Rvd25yZXYueG1sUEsFBgAAAAAEAAQA8wAAAA8GAAAAAA==&#10;" fillcolor="#1e1e14" strokecolor="#243f60 [1604]" strokeweight="2pt">
                <v:textbox>
                  <w:txbxContent>
                    <w:p w:rsidR="00E0113E" w:rsidRDefault="00E0113E" w:rsidP="00EF56E2">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137C5E">
                      <w:pPr>
                        <w:jc w:val="right"/>
                        <w:rPr>
                          <w:color w:val="FFFFFF" w:themeColor="background1"/>
                          <w:sz w:val="48"/>
                        </w:rPr>
                      </w:pPr>
                      <w:r w:rsidRPr="00137C5E">
                        <w:rPr>
                          <w:color w:val="FFFFFF" w:themeColor="background1"/>
                          <w:sz w:val="48"/>
                        </w:rPr>
                        <w:t>5.</w:t>
                      </w:r>
                      <w:r w:rsidRPr="00137C5E">
                        <w:rPr>
                          <w:color w:val="FFFFFF" w:themeColor="background1"/>
                          <w:sz w:val="48"/>
                        </w:rPr>
                        <w:tab/>
                        <w:t>Conclusiones y recomendaciones</w:t>
                      </w:r>
                    </w:p>
                  </w:txbxContent>
                </v:textbox>
              </v:roundrect>
            </w:pict>
          </mc:Fallback>
        </mc:AlternateContent>
      </w:r>
    </w:p>
    <w:p w:rsidR="00DD3B6B" w:rsidRDefault="009C4451" w:rsidP="00573B70">
      <w:pPr>
        <w:autoSpaceDE w:val="0"/>
        <w:autoSpaceDN w:val="0"/>
        <w:adjustRightInd w:val="0"/>
        <w:contextualSpacing/>
        <w:jc w:val="both"/>
        <w:rPr>
          <w:rFonts w:ascii="Tahoma" w:hAnsi="Tahoma" w:cs="Tahoma"/>
          <w:szCs w:val="24"/>
          <w:lang w:val="es-ES" w:eastAsia="es-MX"/>
        </w:rPr>
      </w:pPr>
      <w:r>
        <w:rPr>
          <w:noProof/>
          <w:lang w:val="en-US"/>
        </w:rPr>
        <w:drawing>
          <wp:anchor distT="0" distB="0" distL="114300" distR="114300" simplePos="0" relativeHeight="251705856" behindDoc="1" locked="0" layoutInCell="1" allowOverlap="1" wp14:anchorId="30FD6537" wp14:editId="0420B4F8">
            <wp:simplePos x="0" y="0"/>
            <wp:positionH relativeFrom="column">
              <wp:posOffset>1702435</wp:posOffset>
            </wp:positionH>
            <wp:positionV relativeFrom="paragraph">
              <wp:posOffset>69850</wp:posOffset>
            </wp:positionV>
            <wp:extent cx="3082290" cy="2157095"/>
            <wp:effectExtent l="0" t="0" r="3810" b="0"/>
            <wp:wrapNone/>
            <wp:docPr id="61" name="Imagen 61" descr="Resultado de imagen para participaciones federales incr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rticipaciones federales incremen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82290" cy="215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9C4451" w:rsidP="00573B70">
      <w:pPr>
        <w:autoSpaceDE w:val="0"/>
        <w:autoSpaceDN w:val="0"/>
        <w:adjustRightInd w:val="0"/>
        <w:contextualSpacing/>
        <w:jc w:val="both"/>
        <w:rPr>
          <w:rFonts w:ascii="Tahoma" w:hAnsi="Tahoma" w:cs="Tahoma"/>
          <w:szCs w:val="24"/>
          <w:lang w:val="es-ES" w:eastAsia="es-MX"/>
        </w:rPr>
      </w:pPr>
      <w:r>
        <w:rPr>
          <w:rFonts w:ascii="Tahoma" w:hAnsi="Tahoma" w:cs="Tahoma"/>
          <w:noProof/>
          <w:szCs w:val="24"/>
          <w:lang w:val="en-US"/>
        </w:rPr>
        <w:drawing>
          <wp:anchor distT="0" distB="0" distL="114300" distR="114300" simplePos="0" relativeHeight="251721216" behindDoc="1" locked="0" layoutInCell="1" allowOverlap="1" wp14:anchorId="75CB343B" wp14:editId="0F9FA6BC">
            <wp:simplePos x="0" y="0"/>
            <wp:positionH relativeFrom="column">
              <wp:posOffset>1736090</wp:posOffset>
            </wp:positionH>
            <wp:positionV relativeFrom="paragraph">
              <wp:posOffset>31750</wp:posOffset>
            </wp:positionV>
            <wp:extent cx="4495800" cy="2541270"/>
            <wp:effectExtent l="0" t="0" r="0" b="0"/>
            <wp:wrapNone/>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_213358.jpg"/>
                    <pic:cNvPicPr/>
                  </pic:nvPicPr>
                  <pic:blipFill rotWithShape="1">
                    <a:blip r:embed="rId47" cstate="print">
                      <a:extLst>
                        <a:ext uri="{BEBA8EAE-BF5A-486C-A8C5-ECC9F3942E4B}">
                          <a14:imgProps xmlns:a14="http://schemas.microsoft.com/office/drawing/2010/main">
                            <a14:imgLayer r:embed="rId48">
                              <a14:imgEffect>
                                <a14:backgroundRemoval t="35329" b="100000" l="20000" r="91683"/>
                              </a14:imgEffect>
                            </a14:imgLayer>
                          </a14:imgProps>
                        </a:ext>
                        <a:ext uri="{28A0092B-C50C-407E-A947-70E740481C1C}">
                          <a14:useLocalDpi xmlns:a14="http://schemas.microsoft.com/office/drawing/2010/main" val="0"/>
                        </a:ext>
                      </a:extLst>
                    </a:blip>
                    <a:srcRect l="19971" t="28240" r="8623"/>
                    <a:stretch/>
                  </pic:blipFill>
                  <pic:spPr bwMode="auto">
                    <a:xfrm>
                      <a:off x="0" y="0"/>
                      <a:ext cx="4495800" cy="254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970D7B" w:rsidRDefault="00970D7B" w:rsidP="00573B70">
      <w:pPr>
        <w:autoSpaceDE w:val="0"/>
        <w:autoSpaceDN w:val="0"/>
        <w:adjustRightInd w:val="0"/>
        <w:contextualSpacing/>
        <w:jc w:val="both"/>
        <w:rPr>
          <w:rFonts w:ascii="Tahoma" w:hAnsi="Tahoma" w:cs="Tahoma"/>
          <w:szCs w:val="24"/>
          <w:lang w:val="es-ES" w:eastAsia="es-MX"/>
        </w:rPr>
      </w:pPr>
    </w:p>
    <w:p w:rsidR="00DD3B6B" w:rsidRDefault="00DD3B6B" w:rsidP="00573B70">
      <w:pPr>
        <w:autoSpaceDE w:val="0"/>
        <w:autoSpaceDN w:val="0"/>
        <w:adjustRightInd w:val="0"/>
        <w:contextualSpacing/>
        <w:jc w:val="both"/>
        <w:rPr>
          <w:rFonts w:ascii="Tahoma" w:hAnsi="Tahoma" w:cs="Tahoma"/>
          <w:szCs w:val="24"/>
          <w:lang w:val="es-ES" w:eastAsia="es-MX"/>
        </w:rPr>
      </w:pPr>
    </w:p>
    <w:p w:rsidR="00F309BF" w:rsidRDefault="00F309BF" w:rsidP="00573B70">
      <w:pPr>
        <w:autoSpaceDE w:val="0"/>
        <w:autoSpaceDN w:val="0"/>
        <w:adjustRightInd w:val="0"/>
        <w:contextualSpacing/>
        <w:jc w:val="both"/>
        <w:rPr>
          <w:rFonts w:ascii="Tahoma" w:hAnsi="Tahoma" w:cs="Tahoma"/>
          <w:szCs w:val="24"/>
          <w:lang w:val="es-ES" w:eastAsia="es-MX"/>
        </w:rPr>
      </w:pPr>
      <w:r>
        <w:rPr>
          <w:rFonts w:ascii="Tahoma" w:hAnsi="Tahoma" w:cs="Tahoma"/>
          <w:szCs w:val="24"/>
          <w:lang w:val="es-ES" w:eastAsia="es-MX"/>
        </w:rPr>
        <w:br w:type="page"/>
      </w:r>
    </w:p>
    <w:p w:rsidR="00DD3B6B" w:rsidRPr="00CF6447" w:rsidRDefault="00B7561A" w:rsidP="00CF6447">
      <w:pPr>
        <w:pStyle w:val="Heading1"/>
        <w:rPr>
          <w:rFonts w:ascii="Maiandra GD" w:hAnsi="Maiandra GD"/>
          <w:color w:val="943634" w:themeColor="accent2" w:themeShade="BF"/>
          <w:sz w:val="32"/>
          <w:szCs w:val="32"/>
          <w:lang w:val="es-ES" w:eastAsia="es-MX"/>
        </w:rPr>
      </w:pPr>
      <w:bookmarkStart w:id="17" w:name="_Toc520556946"/>
      <w:r w:rsidRPr="00CF6447">
        <w:rPr>
          <w:rFonts w:ascii="Maiandra GD" w:hAnsi="Maiandra GD"/>
          <w:color w:val="943634" w:themeColor="accent2" w:themeShade="BF"/>
          <w:sz w:val="32"/>
          <w:szCs w:val="32"/>
          <w:lang w:val="es-ES" w:eastAsia="es-MX"/>
        </w:rPr>
        <w:t>CONCLUSIONES Y RECOMENDACIONES</w:t>
      </w:r>
      <w:bookmarkEnd w:id="17"/>
    </w:p>
    <w:p w:rsidR="00907BF8" w:rsidRPr="00345BFD" w:rsidRDefault="00907BF8" w:rsidP="005A24D0">
      <w:pPr>
        <w:spacing w:after="0" w:line="480" w:lineRule="auto"/>
        <w:jc w:val="both"/>
        <w:rPr>
          <w:rFonts w:ascii="Tahoma" w:hAnsi="Tahoma" w:cs="Tahoma"/>
          <w:sz w:val="24"/>
          <w:szCs w:val="24"/>
        </w:rPr>
      </w:pPr>
      <w:r w:rsidRPr="00345BFD">
        <w:rPr>
          <w:rFonts w:ascii="Tahoma" w:hAnsi="Tahoma" w:cs="Tahoma"/>
          <w:sz w:val="24"/>
          <w:szCs w:val="24"/>
        </w:rPr>
        <w:t>Las participaciones se transfieren conforme a lo establecido en la Ley de Coordinación Fiscal y los Convenios de Adhesión al Sistema Nacional de Coordinación Fiscal y sus anexos. Los incentivos económicos se derivan de la retribución que reciben las entidades federativas por las actividades de colaboración administrativa que realizan con la Federación, en el marco del Convenio de Colaboración Administrativa en Materia Fiscal Federal y sus anexos.</w:t>
      </w:r>
    </w:p>
    <w:p w:rsidR="00B60713" w:rsidRDefault="00907BF8" w:rsidP="005A24D0">
      <w:pPr>
        <w:spacing w:after="0" w:line="480" w:lineRule="auto"/>
        <w:jc w:val="both"/>
        <w:rPr>
          <w:rFonts w:ascii="Tahoma" w:hAnsi="Tahoma" w:cs="Tahoma"/>
          <w:sz w:val="24"/>
          <w:szCs w:val="24"/>
        </w:rPr>
      </w:pPr>
      <w:r w:rsidRPr="00345BFD">
        <w:rPr>
          <w:rFonts w:ascii="Tahoma" w:hAnsi="Tahoma" w:cs="Tahoma"/>
          <w:sz w:val="24"/>
          <w:szCs w:val="24"/>
        </w:rPr>
        <w:t>En este contexto, se trabaja coordinadamente con los niveles locales de gobierno para consolidar el sistema en materia hacendaria (ingreso, gasto y deuda), lo que permite concertar acciones y propiciar mejores relaciones hacendarias entre los tres órdenes gubernamentales. En congruencia con lo anterior, durante 2017 se propone continuar con la coordinación intergubernamental con las entidades federativas y municipios del país, en el marco del Sistema Nacional de Coordinación Fiscal, para avanzar en la consolidación del federalismo hacendario, a fin de que los tres órdenes de gobierno fortalezcan su capacidad financiera en un entorno de estabilidad en sus finanzas públicas, con recursos presupuestarios adecuados a sus necesidades, que permita financiar el desarrollo integral, incluyente, sustentable y sostenido de todas las regiones del país.</w:t>
      </w:r>
    </w:p>
    <w:p w:rsidR="009C3CC4" w:rsidRDefault="009C3CC4" w:rsidP="00A9093E">
      <w:pPr>
        <w:spacing w:after="480" w:line="480" w:lineRule="auto"/>
        <w:jc w:val="both"/>
        <w:rPr>
          <w:rFonts w:ascii="Tahoma" w:hAnsi="Tahoma" w:cs="Tahoma"/>
          <w:sz w:val="24"/>
          <w:szCs w:val="24"/>
        </w:rPr>
      </w:pPr>
      <w:r>
        <w:rPr>
          <w:rFonts w:ascii="Tahoma" w:hAnsi="Tahoma" w:cs="Tahoma"/>
          <w:sz w:val="24"/>
          <w:szCs w:val="24"/>
        </w:rPr>
        <w:t xml:space="preserve">Sin embargo los instrumentos de medición y </w:t>
      </w:r>
      <w:r w:rsidR="00E0113E">
        <w:rPr>
          <w:rFonts w:ascii="Tahoma" w:hAnsi="Tahoma" w:cs="Tahoma"/>
          <w:sz w:val="24"/>
          <w:szCs w:val="24"/>
        </w:rPr>
        <w:t>seguimiento</w:t>
      </w:r>
      <w:r>
        <w:rPr>
          <w:rFonts w:ascii="Tahoma" w:hAnsi="Tahoma" w:cs="Tahoma"/>
          <w:sz w:val="24"/>
          <w:szCs w:val="24"/>
        </w:rPr>
        <w:t xml:space="preserve"> no son específicos en el Programa Operativo de la SPF, por un lado el indicador sobre el resultado de las </w:t>
      </w:r>
      <w:r w:rsidR="00E0113E">
        <w:rPr>
          <w:rFonts w:ascii="Tahoma" w:hAnsi="Tahoma" w:cs="Tahoma"/>
          <w:sz w:val="24"/>
          <w:szCs w:val="24"/>
        </w:rPr>
        <w:t>gestiones</w:t>
      </w:r>
      <w:r>
        <w:rPr>
          <w:rFonts w:ascii="Tahoma" w:hAnsi="Tahoma" w:cs="Tahoma"/>
          <w:sz w:val="24"/>
          <w:szCs w:val="24"/>
        </w:rPr>
        <w:t xml:space="preserve"> incluye diversas fuentes de financiamiento de Recursos Federales.</w:t>
      </w:r>
      <w:r w:rsidR="005907A5">
        <w:rPr>
          <w:rFonts w:ascii="Tahoma" w:hAnsi="Tahoma" w:cs="Tahoma"/>
          <w:sz w:val="24"/>
          <w:szCs w:val="24"/>
        </w:rPr>
        <w:t xml:space="preserve"> Así mismo, l</w:t>
      </w:r>
      <w:r>
        <w:rPr>
          <w:rFonts w:ascii="Tahoma" w:hAnsi="Tahoma" w:cs="Tahoma"/>
          <w:sz w:val="24"/>
          <w:szCs w:val="24"/>
        </w:rPr>
        <w:t xml:space="preserve">os indicadores de seguimiento a las participaciones solamente </w:t>
      </w:r>
      <w:r w:rsidR="005907A5">
        <w:rPr>
          <w:rFonts w:ascii="Tahoma" w:hAnsi="Tahoma" w:cs="Tahoma"/>
          <w:sz w:val="24"/>
          <w:szCs w:val="24"/>
        </w:rPr>
        <w:t>contemplan</w:t>
      </w:r>
      <w:r>
        <w:rPr>
          <w:rFonts w:ascii="Tahoma" w:hAnsi="Tahoma" w:cs="Tahoma"/>
          <w:sz w:val="24"/>
          <w:szCs w:val="24"/>
        </w:rPr>
        <w:t xml:space="preserve"> el 20%, porcentaje correspondiente a </w:t>
      </w:r>
      <w:r w:rsidR="005907A5">
        <w:rPr>
          <w:rFonts w:ascii="Tahoma" w:hAnsi="Tahoma" w:cs="Tahoma"/>
          <w:sz w:val="24"/>
          <w:szCs w:val="24"/>
        </w:rPr>
        <w:t>los conceptos de Participaciones</w:t>
      </w:r>
      <w:r>
        <w:rPr>
          <w:rFonts w:ascii="Tahoma" w:hAnsi="Tahoma" w:cs="Tahoma"/>
          <w:sz w:val="24"/>
          <w:szCs w:val="24"/>
        </w:rPr>
        <w:t xml:space="preserve"> </w:t>
      </w:r>
      <w:r w:rsidR="005907A5">
        <w:rPr>
          <w:rFonts w:ascii="Tahoma" w:hAnsi="Tahoma" w:cs="Tahoma"/>
          <w:sz w:val="24"/>
          <w:szCs w:val="24"/>
        </w:rPr>
        <w:t>Transferidos a los municipios de la Entidad.</w:t>
      </w:r>
    </w:p>
    <w:p w:rsidR="00B60713" w:rsidRPr="00CF6447" w:rsidRDefault="00B60713" w:rsidP="00CF6447">
      <w:pPr>
        <w:pStyle w:val="Heading1"/>
        <w:spacing w:before="0" w:after="480" w:line="480" w:lineRule="auto"/>
        <w:contextualSpacing/>
        <w:jc w:val="both"/>
        <w:rPr>
          <w:rFonts w:ascii="Tahoma" w:eastAsiaTheme="minorEastAsia" w:hAnsi="Tahoma" w:cs="Tahoma"/>
          <w:color w:val="943634" w:themeColor="accent2" w:themeShade="BF"/>
          <w:sz w:val="24"/>
          <w:szCs w:val="24"/>
          <w:lang w:val="es-ES"/>
        </w:rPr>
      </w:pPr>
      <w:bookmarkStart w:id="18" w:name="_Toc520556947"/>
      <w:r w:rsidRPr="00CF6447">
        <w:rPr>
          <w:rFonts w:ascii="Tahoma" w:eastAsiaTheme="minorEastAsia" w:hAnsi="Tahoma" w:cs="Tahoma"/>
          <w:color w:val="943634" w:themeColor="accent2" w:themeShade="BF"/>
          <w:sz w:val="24"/>
          <w:szCs w:val="24"/>
          <w:lang w:val="es-ES"/>
        </w:rPr>
        <w:t>ANÁLISIS DE CONTENIDO: PRINCIPALES HALLAZGOS</w:t>
      </w:r>
      <w:bookmarkEnd w:id="18"/>
      <w:r w:rsidRPr="00CF6447">
        <w:rPr>
          <w:rFonts w:ascii="Tahoma" w:eastAsiaTheme="minorEastAsia" w:hAnsi="Tahoma" w:cs="Tahoma"/>
          <w:color w:val="943634" w:themeColor="accent2" w:themeShade="BF"/>
          <w:sz w:val="24"/>
          <w:szCs w:val="24"/>
          <w:lang w:val="es-ES"/>
        </w:rPr>
        <w:t xml:space="preserve"> </w:t>
      </w:r>
    </w:p>
    <w:p w:rsidR="00B60713" w:rsidRDefault="00B60713" w:rsidP="00F42DE2">
      <w:pPr>
        <w:spacing w:after="480" w:line="480" w:lineRule="auto"/>
        <w:contextualSpacing/>
        <w:jc w:val="both"/>
        <w:rPr>
          <w:rFonts w:ascii="Tahoma" w:hAnsi="Tahoma" w:cs="Tahoma"/>
          <w:sz w:val="24"/>
          <w:szCs w:val="24"/>
        </w:rPr>
      </w:pPr>
      <w:r w:rsidRPr="0051452B">
        <w:rPr>
          <w:rFonts w:ascii="Tahoma" w:hAnsi="Tahoma" w:cs="Tahoma"/>
          <w:sz w:val="24"/>
          <w:szCs w:val="24"/>
        </w:rPr>
        <w:t>En este apartado se presenta un análisis estratégico de fortalezas y debilidades de la relación que estrecha la implementación del sistema de recaudación de Baja California con las posibles oportunidades para la creació</w:t>
      </w:r>
      <w:r w:rsidR="00CF6447" w:rsidRPr="00CF6447">
        <w:rPr>
          <w:rFonts w:ascii="Tahoma" w:hAnsi="Tahoma" w:cs="Tahoma"/>
          <w:sz w:val="24"/>
          <w:szCs w:val="24"/>
        </w:rPr>
        <w:t xml:space="preserve">n de estrategias y actividades </w:t>
      </w:r>
      <w:r w:rsidRPr="0051452B">
        <w:rPr>
          <w:rFonts w:ascii="Tahoma" w:hAnsi="Tahoma" w:cs="Tahoma"/>
          <w:sz w:val="24"/>
          <w:szCs w:val="24"/>
        </w:rPr>
        <w:t xml:space="preserve">que permitan </w:t>
      </w:r>
      <w:r w:rsidR="007C1D9A">
        <w:rPr>
          <w:rFonts w:ascii="Tahoma" w:hAnsi="Tahoma" w:cs="Tahoma"/>
          <w:sz w:val="24"/>
          <w:szCs w:val="24"/>
        </w:rPr>
        <w:t>mejorar la recaudación y con ello impactar en los Fondos Participables,</w:t>
      </w:r>
      <w:r w:rsidRPr="0051452B">
        <w:rPr>
          <w:rFonts w:ascii="Tahoma" w:hAnsi="Tahoma" w:cs="Tahoma"/>
          <w:sz w:val="24"/>
          <w:szCs w:val="24"/>
        </w:rPr>
        <w:t xml:space="preserve"> </w:t>
      </w:r>
      <w:r w:rsidR="007C1D9A">
        <w:rPr>
          <w:rFonts w:ascii="Tahoma" w:hAnsi="Tahoma" w:cs="Tahoma"/>
          <w:sz w:val="24"/>
          <w:szCs w:val="24"/>
        </w:rPr>
        <w:t>contribuyendo al mejoramiento e incremento de las</w:t>
      </w:r>
      <w:r w:rsidRPr="0051452B">
        <w:rPr>
          <w:rFonts w:ascii="Tahoma" w:hAnsi="Tahoma" w:cs="Tahoma"/>
          <w:sz w:val="24"/>
          <w:szCs w:val="24"/>
        </w:rPr>
        <w:t xml:space="preserve"> fuentes</w:t>
      </w:r>
      <w:r w:rsidR="007C1D9A">
        <w:rPr>
          <w:rFonts w:ascii="Tahoma" w:hAnsi="Tahoma" w:cs="Tahoma"/>
          <w:sz w:val="24"/>
          <w:szCs w:val="24"/>
        </w:rPr>
        <w:t xml:space="preserve"> de financiamiento</w:t>
      </w:r>
      <w:r w:rsidRPr="0051452B">
        <w:rPr>
          <w:rFonts w:ascii="Tahoma" w:hAnsi="Tahoma" w:cs="Tahoma"/>
          <w:sz w:val="24"/>
          <w:szCs w:val="24"/>
        </w:rPr>
        <w:t xml:space="preserve"> Estatal, considerando para ello las eventuales amenazas que la pudiesen limitar. </w:t>
      </w:r>
    </w:p>
    <w:p w:rsidR="00B60713" w:rsidRPr="00A47A26" w:rsidRDefault="00CF6447" w:rsidP="00A47A26">
      <w:pPr>
        <w:pStyle w:val="Heading2"/>
        <w:spacing w:before="0" w:line="480" w:lineRule="auto"/>
        <w:contextualSpacing/>
        <w:jc w:val="both"/>
        <w:rPr>
          <w:rFonts w:ascii="Tahoma" w:eastAsiaTheme="minorEastAsia" w:hAnsi="Tahoma" w:cs="Tahoma"/>
          <w:color w:val="943634" w:themeColor="accent2" w:themeShade="BF"/>
          <w:sz w:val="24"/>
          <w:szCs w:val="24"/>
          <w:lang w:val="es-ES"/>
        </w:rPr>
      </w:pPr>
      <w:bookmarkStart w:id="19" w:name="_Toc520556948"/>
      <w:r w:rsidRPr="00A47A26">
        <w:rPr>
          <w:rFonts w:ascii="Tahoma" w:eastAsiaTheme="minorEastAsia" w:hAnsi="Tahoma" w:cs="Tahoma"/>
          <w:color w:val="943634" w:themeColor="accent2" w:themeShade="BF"/>
          <w:sz w:val="24"/>
          <w:szCs w:val="24"/>
          <w:lang w:val="es-ES"/>
        </w:rPr>
        <w:t>Fortalezas</w:t>
      </w:r>
      <w:bookmarkEnd w:id="19"/>
    </w:p>
    <w:p w:rsidR="007C1D9A" w:rsidRDefault="007C1D9A" w:rsidP="00A47A26">
      <w:pPr>
        <w:tabs>
          <w:tab w:val="num" w:pos="1069"/>
        </w:tabs>
        <w:spacing w:after="0" w:line="480" w:lineRule="auto"/>
        <w:contextualSpacing/>
        <w:jc w:val="both"/>
        <w:rPr>
          <w:rFonts w:ascii="Tahoma" w:eastAsiaTheme="minorEastAsia" w:hAnsi="Tahoma" w:cs="Tahoma"/>
          <w:b/>
          <w:color w:val="943634" w:themeColor="accent2" w:themeShade="BF"/>
          <w:sz w:val="24"/>
          <w:szCs w:val="24"/>
        </w:rPr>
      </w:pPr>
      <w:r>
        <w:rPr>
          <w:rFonts w:ascii="Tahoma" w:eastAsiaTheme="minorEastAsia" w:hAnsi="Tahoma" w:cs="Tahoma"/>
          <w:b/>
          <w:color w:val="943634" w:themeColor="accent2" w:themeShade="BF"/>
          <w:sz w:val="24"/>
          <w:szCs w:val="24"/>
        </w:rPr>
        <w:t>Ámbito Programático:</w:t>
      </w:r>
    </w:p>
    <w:p w:rsidR="00B60713" w:rsidRDefault="00B60713" w:rsidP="00A47A26">
      <w:pPr>
        <w:tabs>
          <w:tab w:val="num" w:pos="1069"/>
        </w:tabs>
        <w:spacing w:after="0" w:line="480" w:lineRule="auto"/>
        <w:contextualSpacing/>
        <w:jc w:val="both"/>
        <w:rPr>
          <w:rFonts w:ascii="Tahoma" w:eastAsiaTheme="minorEastAsia" w:hAnsi="Tahoma" w:cs="Tahoma"/>
          <w:sz w:val="24"/>
          <w:szCs w:val="24"/>
        </w:rPr>
      </w:pPr>
      <w:r w:rsidRPr="0051452B">
        <w:rPr>
          <w:rFonts w:ascii="Tahoma" w:eastAsiaTheme="minorEastAsia" w:hAnsi="Tahoma" w:cs="Tahoma"/>
          <w:b/>
          <w:color w:val="943634" w:themeColor="accent2" w:themeShade="BF"/>
          <w:sz w:val="24"/>
          <w:szCs w:val="24"/>
        </w:rPr>
        <w:t>Capacidad institucional</w:t>
      </w:r>
      <w:r w:rsidRPr="0051452B">
        <w:rPr>
          <w:rFonts w:ascii="Tahoma" w:eastAsiaTheme="minorEastAsia" w:hAnsi="Tahoma" w:cs="Tahoma"/>
          <w:color w:val="943634" w:themeColor="accent2" w:themeShade="BF"/>
          <w:sz w:val="24"/>
          <w:szCs w:val="24"/>
        </w:rPr>
        <w:t xml:space="preserve">: </w:t>
      </w:r>
      <w:r w:rsidRPr="0051452B">
        <w:rPr>
          <w:rFonts w:ascii="Tahoma" w:eastAsiaTheme="minorEastAsia" w:hAnsi="Tahoma" w:cs="Tahoma"/>
          <w:sz w:val="24"/>
          <w:szCs w:val="24"/>
        </w:rPr>
        <w:t xml:space="preserve">Se cuenta la infraestructura administrativa para la planeación y fiscalización (como es el caso de la </w:t>
      </w:r>
      <w:r w:rsidR="007C1D9A">
        <w:rPr>
          <w:rFonts w:ascii="Tahoma" w:eastAsiaTheme="minorEastAsia" w:hAnsi="Tahoma" w:cs="Tahoma"/>
          <w:sz w:val="24"/>
          <w:szCs w:val="24"/>
        </w:rPr>
        <w:t>SPF</w:t>
      </w:r>
      <w:r w:rsidRPr="0051452B">
        <w:rPr>
          <w:rFonts w:ascii="Tahoma" w:eastAsiaTheme="minorEastAsia" w:hAnsi="Tahoma" w:cs="Tahoma"/>
          <w:sz w:val="24"/>
          <w:szCs w:val="24"/>
        </w:rPr>
        <w:t xml:space="preserve"> y el COPLADE) y ejercicio de la recaudación de impuestos, derechos, productos y aprovechamientos; (como recaudación de rentas, comisión estatal de servicios públicos en cada municipio), </w:t>
      </w:r>
      <w:r w:rsidR="007C1D9A">
        <w:rPr>
          <w:rFonts w:ascii="Tahoma" w:eastAsiaTheme="minorEastAsia" w:hAnsi="Tahoma" w:cs="Tahoma"/>
          <w:sz w:val="24"/>
          <w:szCs w:val="24"/>
        </w:rPr>
        <w:t>así como para su administración, con metas y acciones dirigidas al Desarrollo Estatal, a la gestión ejercicio y ejecución de los Recursos que financian la Administración Estatal.</w:t>
      </w:r>
    </w:p>
    <w:p w:rsidR="007C1D9A" w:rsidRDefault="007C1D9A" w:rsidP="0071037E">
      <w:pPr>
        <w:tabs>
          <w:tab w:val="num" w:pos="1069"/>
        </w:tabs>
        <w:spacing w:after="240" w:line="480" w:lineRule="auto"/>
        <w:contextualSpacing/>
        <w:jc w:val="both"/>
        <w:rPr>
          <w:rFonts w:ascii="Tahoma" w:eastAsiaTheme="minorEastAsia" w:hAnsi="Tahoma" w:cs="Tahoma"/>
          <w:b/>
          <w:color w:val="943634" w:themeColor="accent2" w:themeShade="BF"/>
          <w:sz w:val="24"/>
          <w:szCs w:val="24"/>
        </w:rPr>
      </w:pPr>
      <w:r>
        <w:rPr>
          <w:rFonts w:ascii="Tahoma" w:eastAsiaTheme="minorEastAsia" w:hAnsi="Tahoma" w:cs="Tahoma"/>
          <w:b/>
          <w:color w:val="943634" w:themeColor="accent2" w:themeShade="BF"/>
          <w:sz w:val="24"/>
          <w:szCs w:val="24"/>
        </w:rPr>
        <w:t>Ámbito Presupuestal</w:t>
      </w:r>
      <w:r w:rsidRPr="007C1D9A">
        <w:rPr>
          <w:rFonts w:ascii="Tahoma" w:eastAsiaTheme="minorEastAsia" w:hAnsi="Tahoma" w:cs="Tahoma"/>
          <w:b/>
          <w:color w:val="943634" w:themeColor="accent2" w:themeShade="BF"/>
          <w:sz w:val="24"/>
          <w:szCs w:val="24"/>
        </w:rPr>
        <w:t>:</w:t>
      </w:r>
    </w:p>
    <w:p w:rsidR="007C1D9A" w:rsidRDefault="007C1D9A" w:rsidP="005A24D0">
      <w:pPr>
        <w:tabs>
          <w:tab w:val="num" w:pos="1069"/>
        </w:tabs>
        <w:spacing w:after="0" w:line="480" w:lineRule="auto"/>
        <w:contextualSpacing/>
        <w:jc w:val="both"/>
        <w:rPr>
          <w:rFonts w:ascii="Tahoma" w:eastAsiaTheme="minorEastAsia" w:hAnsi="Tahoma" w:cs="Tahoma"/>
          <w:sz w:val="24"/>
          <w:szCs w:val="24"/>
        </w:rPr>
      </w:pPr>
      <w:r>
        <w:rPr>
          <w:rFonts w:ascii="Tahoma" w:eastAsiaTheme="minorEastAsia" w:hAnsi="Tahoma" w:cs="Tahoma"/>
          <w:b/>
          <w:color w:val="943634" w:themeColor="accent2" w:themeShade="BF"/>
          <w:sz w:val="24"/>
          <w:szCs w:val="24"/>
        </w:rPr>
        <w:t>Transferencia constante</w:t>
      </w:r>
      <w:r w:rsidRPr="0051452B">
        <w:rPr>
          <w:rFonts w:ascii="Tahoma" w:eastAsiaTheme="minorEastAsia" w:hAnsi="Tahoma" w:cs="Tahoma"/>
          <w:color w:val="943634" w:themeColor="accent2" w:themeShade="BF"/>
          <w:sz w:val="24"/>
          <w:szCs w:val="24"/>
        </w:rPr>
        <w:t xml:space="preserve">: </w:t>
      </w:r>
      <w:r>
        <w:rPr>
          <w:rFonts w:ascii="Tahoma" w:eastAsiaTheme="minorEastAsia" w:hAnsi="Tahoma" w:cs="Tahoma"/>
          <w:sz w:val="24"/>
          <w:szCs w:val="24"/>
        </w:rPr>
        <w:t xml:space="preserve">De acuerdo con el calendario de Ministraciones, los recursos que se transfieren a la </w:t>
      </w:r>
      <w:r w:rsidR="00E0113E">
        <w:rPr>
          <w:rFonts w:ascii="Tahoma" w:eastAsiaTheme="minorEastAsia" w:hAnsi="Tahoma" w:cs="Tahoma"/>
          <w:sz w:val="24"/>
          <w:szCs w:val="24"/>
        </w:rPr>
        <w:t>entidad</w:t>
      </w:r>
      <w:r>
        <w:rPr>
          <w:rFonts w:ascii="Tahoma" w:eastAsiaTheme="minorEastAsia" w:hAnsi="Tahoma" w:cs="Tahoma"/>
          <w:sz w:val="24"/>
          <w:szCs w:val="24"/>
        </w:rPr>
        <w:t xml:space="preserve"> tienen una calendarización periódica, lo que permite establecer estrategias de eficiencia del gasto. Aunado a que se conoce desde el mes de </w:t>
      </w:r>
      <w:r w:rsidR="005907A5">
        <w:rPr>
          <w:rFonts w:ascii="Tahoma" w:eastAsiaTheme="minorEastAsia" w:hAnsi="Tahoma" w:cs="Tahoma"/>
          <w:sz w:val="24"/>
          <w:szCs w:val="24"/>
        </w:rPr>
        <w:t>diciembre</w:t>
      </w:r>
      <w:r>
        <w:rPr>
          <w:rFonts w:ascii="Tahoma" w:eastAsiaTheme="minorEastAsia" w:hAnsi="Tahoma" w:cs="Tahoma"/>
          <w:sz w:val="24"/>
          <w:szCs w:val="24"/>
        </w:rPr>
        <w:t xml:space="preserve"> del año previo al ejercicio, dicho calendario. </w:t>
      </w:r>
      <w:r w:rsidR="005907A5">
        <w:rPr>
          <w:rFonts w:ascii="Tahoma" w:eastAsiaTheme="minorEastAsia" w:hAnsi="Tahoma" w:cs="Tahoma"/>
          <w:sz w:val="24"/>
          <w:szCs w:val="24"/>
        </w:rPr>
        <w:t xml:space="preserve">(Publicado en el Diario Oficial de la Federación el 21 de </w:t>
      </w:r>
      <w:r w:rsidR="00E0113E">
        <w:rPr>
          <w:rFonts w:ascii="Tahoma" w:eastAsiaTheme="minorEastAsia" w:hAnsi="Tahoma" w:cs="Tahoma"/>
          <w:sz w:val="24"/>
          <w:szCs w:val="24"/>
        </w:rPr>
        <w:t>diciembre</w:t>
      </w:r>
      <w:r w:rsidR="005907A5">
        <w:rPr>
          <w:rFonts w:ascii="Tahoma" w:eastAsiaTheme="minorEastAsia" w:hAnsi="Tahoma" w:cs="Tahoma"/>
          <w:sz w:val="24"/>
          <w:szCs w:val="24"/>
        </w:rPr>
        <w:t xml:space="preserve"> de 2016)</w:t>
      </w:r>
    </w:p>
    <w:p w:rsidR="005A24D0" w:rsidRDefault="005A24D0" w:rsidP="0071037E">
      <w:pPr>
        <w:tabs>
          <w:tab w:val="num" w:pos="1069"/>
        </w:tabs>
        <w:spacing w:after="240" w:line="480" w:lineRule="auto"/>
        <w:contextualSpacing/>
        <w:jc w:val="both"/>
        <w:rPr>
          <w:rFonts w:ascii="Tahoma" w:eastAsiaTheme="minorEastAsia" w:hAnsi="Tahoma" w:cs="Tahoma"/>
          <w:b/>
          <w:color w:val="943634" w:themeColor="accent2" w:themeShade="BF"/>
          <w:sz w:val="24"/>
          <w:szCs w:val="24"/>
        </w:rPr>
      </w:pPr>
    </w:p>
    <w:p w:rsidR="007C1D9A" w:rsidRDefault="007C1D9A" w:rsidP="0071037E">
      <w:pPr>
        <w:tabs>
          <w:tab w:val="num" w:pos="1069"/>
        </w:tabs>
        <w:spacing w:after="240" w:line="480" w:lineRule="auto"/>
        <w:contextualSpacing/>
        <w:jc w:val="both"/>
        <w:rPr>
          <w:rFonts w:ascii="Tahoma" w:eastAsiaTheme="minorEastAsia" w:hAnsi="Tahoma" w:cs="Tahoma"/>
          <w:b/>
          <w:color w:val="943634" w:themeColor="accent2" w:themeShade="BF"/>
          <w:sz w:val="24"/>
          <w:szCs w:val="24"/>
        </w:rPr>
      </w:pPr>
      <w:r>
        <w:rPr>
          <w:rFonts w:ascii="Tahoma" w:eastAsiaTheme="minorEastAsia" w:hAnsi="Tahoma" w:cs="Tahoma"/>
          <w:b/>
          <w:color w:val="943634" w:themeColor="accent2" w:themeShade="BF"/>
          <w:sz w:val="24"/>
          <w:szCs w:val="24"/>
        </w:rPr>
        <w:t>Ámbito Indicadores</w:t>
      </w:r>
      <w:r w:rsidRPr="007C1D9A">
        <w:rPr>
          <w:rFonts w:ascii="Tahoma" w:eastAsiaTheme="minorEastAsia" w:hAnsi="Tahoma" w:cs="Tahoma"/>
          <w:b/>
          <w:color w:val="943634" w:themeColor="accent2" w:themeShade="BF"/>
          <w:sz w:val="24"/>
          <w:szCs w:val="24"/>
        </w:rPr>
        <w:t>:</w:t>
      </w:r>
    </w:p>
    <w:p w:rsidR="007C1D9A" w:rsidRDefault="007C1D9A" w:rsidP="0071037E">
      <w:pPr>
        <w:tabs>
          <w:tab w:val="num" w:pos="1069"/>
        </w:tabs>
        <w:spacing w:after="480" w:line="480" w:lineRule="auto"/>
        <w:contextualSpacing/>
        <w:jc w:val="both"/>
        <w:rPr>
          <w:rFonts w:ascii="Tahoma" w:eastAsiaTheme="minorEastAsia" w:hAnsi="Tahoma" w:cs="Tahoma"/>
          <w:sz w:val="24"/>
          <w:szCs w:val="24"/>
        </w:rPr>
      </w:pPr>
      <w:r>
        <w:rPr>
          <w:rFonts w:ascii="Tahoma" w:eastAsiaTheme="minorEastAsia" w:hAnsi="Tahoma" w:cs="Tahoma"/>
          <w:b/>
          <w:color w:val="943634" w:themeColor="accent2" w:themeShade="BF"/>
          <w:sz w:val="24"/>
          <w:szCs w:val="24"/>
        </w:rPr>
        <w:t>Indicadores de gestión financiera</w:t>
      </w:r>
      <w:r w:rsidRPr="0051452B">
        <w:rPr>
          <w:rFonts w:ascii="Tahoma" w:eastAsiaTheme="minorEastAsia" w:hAnsi="Tahoma" w:cs="Tahoma"/>
          <w:color w:val="943634" w:themeColor="accent2" w:themeShade="BF"/>
          <w:sz w:val="24"/>
          <w:szCs w:val="24"/>
        </w:rPr>
        <w:t xml:space="preserve">: </w:t>
      </w:r>
      <w:r>
        <w:rPr>
          <w:rFonts w:ascii="Tahoma" w:eastAsiaTheme="minorEastAsia" w:hAnsi="Tahoma" w:cs="Tahoma"/>
          <w:sz w:val="24"/>
          <w:szCs w:val="24"/>
        </w:rPr>
        <w:t xml:space="preserve">A partir del ejercicio 2018 se establecen indicadores de gestión financiera para dar seguimiento a los recursos transferidos, 20% del total de las Participaciones, a los 5 municipios de la Entidad, lo cual permitirá avanzar en la creación de indicadores de seguimiento </w:t>
      </w:r>
      <w:r w:rsidR="005907A5">
        <w:rPr>
          <w:rFonts w:ascii="Tahoma" w:eastAsiaTheme="minorEastAsia" w:hAnsi="Tahoma" w:cs="Tahoma"/>
          <w:sz w:val="24"/>
          <w:szCs w:val="24"/>
        </w:rPr>
        <w:t xml:space="preserve">de la Transferencia </w:t>
      </w:r>
      <w:r>
        <w:rPr>
          <w:rFonts w:ascii="Tahoma" w:eastAsiaTheme="minorEastAsia" w:hAnsi="Tahoma" w:cs="Tahoma"/>
          <w:sz w:val="24"/>
          <w:szCs w:val="24"/>
        </w:rPr>
        <w:t>presupuestal.</w:t>
      </w:r>
    </w:p>
    <w:p w:rsidR="00B60713" w:rsidRPr="00CF6447" w:rsidRDefault="00B60713" w:rsidP="00F42DE2">
      <w:pPr>
        <w:pStyle w:val="Heading2"/>
        <w:spacing w:before="0" w:line="480" w:lineRule="auto"/>
        <w:contextualSpacing/>
        <w:jc w:val="both"/>
        <w:rPr>
          <w:rFonts w:ascii="Tahoma" w:eastAsiaTheme="minorEastAsia" w:hAnsi="Tahoma" w:cs="Tahoma"/>
          <w:color w:val="943634" w:themeColor="accent2" w:themeShade="BF"/>
          <w:sz w:val="24"/>
          <w:szCs w:val="24"/>
          <w:lang w:val="es-ES"/>
        </w:rPr>
      </w:pPr>
      <w:bookmarkStart w:id="20" w:name="_Toc520556949"/>
      <w:r w:rsidRPr="00CF6447">
        <w:rPr>
          <w:rFonts w:ascii="Tahoma" w:eastAsiaTheme="minorEastAsia" w:hAnsi="Tahoma" w:cs="Tahoma"/>
          <w:color w:val="943634" w:themeColor="accent2" w:themeShade="BF"/>
          <w:sz w:val="24"/>
          <w:szCs w:val="24"/>
          <w:lang w:val="es-ES"/>
        </w:rPr>
        <w:t>Oportunidades</w:t>
      </w:r>
      <w:bookmarkEnd w:id="20"/>
    </w:p>
    <w:p w:rsidR="0046639D" w:rsidRDefault="0046639D" w:rsidP="00A47A26">
      <w:pPr>
        <w:spacing w:after="0" w:line="480" w:lineRule="auto"/>
        <w:contextualSpacing/>
        <w:jc w:val="both"/>
        <w:rPr>
          <w:rFonts w:ascii="Tahoma" w:eastAsiaTheme="minorEastAsia" w:hAnsi="Tahoma" w:cs="Tahoma"/>
          <w:b/>
          <w:color w:val="943634" w:themeColor="accent2" w:themeShade="BF"/>
          <w:sz w:val="24"/>
          <w:szCs w:val="24"/>
        </w:rPr>
      </w:pPr>
      <w:r>
        <w:rPr>
          <w:rFonts w:ascii="Tahoma" w:eastAsiaTheme="minorEastAsia" w:hAnsi="Tahoma" w:cs="Tahoma"/>
          <w:b/>
          <w:color w:val="943634" w:themeColor="accent2" w:themeShade="BF"/>
          <w:sz w:val="24"/>
          <w:szCs w:val="24"/>
        </w:rPr>
        <w:t>Ámbito Presupuestal</w:t>
      </w:r>
      <w:r w:rsidRPr="007C1D9A">
        <w:rPr>
          <w:rFonts w:ascii="Tahoma" w:eastAsiaTheme="minorEastAsia" w:hAnsi="Tahoma" w:cs="Tahoma"/>
          <w:b/>
          <w:color w:val="943634" w:themeColor="accent2" w:themeShade="BF"/>
          <w:sz w:val="24"/>
          <w:szCs w:val="24"/>
        </w:rPr>
        <w:t>:</w:t>
      </w:r>
    </w:p>
    <w:p w:rsidR="00B60713" w:rsidRDefault="00B60713" w:rsidP="0071037E">
      <w:pPr>
        <w:spacing w:after="480" w:line="480" w:lineRule="auto"/>
        <w:contextualSpacing/>
        <w:jc w:val="both"/>
        <w:rPr>
          <w:rFonts w:ascii="Tahoma" w:eastAsiaTheme="minorEastAsia" w:hAnsi="Tahoma" w:cs="Tahoma"/>
          <w:sz w:val="24"/>
          <w:szCs w:val="24"/>
          <w:lang w:val="es-ES"/>
        </w:rPr>
      </w:pPr>
      <w:r w:rsidRPr="0051452B">
        <w:rPr>
          <w:rFonts w:ascii="Tahoma" w:eastAsiaTheme="minorEastAsia" w:hAnsi="Tahoma" w:cs="Tahoma"/>
          <w:b/>
          <w:color w:val="943634" w:themeColor="accent2" w:themeShade="BF"/>
          <w:sz w:val="24"/>
          <w:szCs w:val="24"/>
          <w:lang w:val="es-ES"/>
        </w:rPr>
        <w:t>Recaudación extra de impuestos con respecto del proyectado</w:t>
      </w:r>
      <w:r w:rsidRPr="0051452B">
        <w:rPr>
          <w:rFonts w:ascii="Tahoma" w:eastAsiaTheme="minorEastAsia" w:hAnsi="Tahoma" w:cs="Tahoma"/>
          <w:color w:val="943634" w:themeColor="accent2" w:themeShade="BF"/>
          <w:sz w:val="24"/>
          <w:szCs w:val="24"/>
          <w:lang w:val="es-ES"/>
        </w:rPr>
        <w:t xml:space="preserve">: </w:t>
      </w:r>
      <w:r w:rsidRPr="0051452B">
        <w:rPr>
          <w:rFonts w:ascii="Tahoma" w:eastAsiaTheme="minorEastAsia" w:hAnsi="Tahoma" w:cs="Tahoma"/>
          <w:sz w:val="24"/>
          <w:szCs w:val="24"/>
          <w:lang w:val="es-ES"/>
        </w:rPr>
        <w:t>A pesar de que la tendencia del Estado de Baja California de acuerdo con el indicador de autonomía financiera</w:t>
      </w:r>
      <w:r w:rsidRPr="00CF6447">
        <w:rPr>
          <w:rFonts w:ascii="Tahoma" w:eastAsiaTheme="minorEastAsia" w:hAnsi="Tahoma" w:cs="Tahoma"/>
          <w:sz w:val="24"/>
          <w:szCs w:val="24"/>
          <w:vertAlign w:val="superscript"/>
          <w:lang w:val="es-ES"/>
        </w:rPr>
        <w:footnoteReference w:id="1"/>
      </w:r>
      <w:r w:rsidRPr="0051452B">
        <w:rPr>
          <w:rFonts w:ascii="Tahoma" w:eastAsiaTheme="minorEastAsia" w:hAnsi="Tahoma" w:cs="Tahoma"/>
          <w:sz w:val="24"/>
          <w:szCs w:val="24"/>
          <w:lang w:val="es-ES"/>
        </w:rPr>
        <w:t xml:space="preserve"> es a la baja, en relación al comportamiento observado para el año 2015 con un porcentaje de ingresos propios de 17.87 del total de ingresos, 2016 con 17.7 y 2017 con 10.38, se puede rescatar que se presenta también una recaudación mayor de impuestos cada año con respecto del año anterior y del ingreso proyectado, como se puede observ</w:t>
      </w:r>
      <w:r w:rsidR="00F42DE2">
        <w:rPr>
          <w:rFonts w:ascii="Tahoma" w:eastAsiaTheme="minorEastAsia" w:hAnsi="Tahoma" w:cs="Tahoma"/>
          <w:sz w:val="24"/>
          <w:szCs w:val="24"/>
          <w:lang w:val="es-ES"/>
        </w:rPr>
        <w:t>ar a continuación:</w:t>
      </w:r>
    </w:p>
    <w:tbl>
      <w:tblPr>
        <w:tblStyle w:val="GridTable6Colorful-Accent2"/>
        <w:tblW w:w="8492" w:type="dxa"/>
        <w:tblLook w:val="04A0" w:firstRow="1" w:lastRow="0" w:firstColumn="1" w:lastColumn="0" w:noHBand="0" w:noVBand="1"/>
      </w:tblPr>
      <w:tblGrid>
        <w:gridCol w:w="8492"/>
      </w:tblGrid>
      <w:tr w:rsidR="00CF6447" w:rsidRPr="00CF6447" w:rsidTr="00F42DE2">
        <w:trPr>
          <w:cnfStyle w:val="100000000000" w:firstRow="1" w:lastRow="0" w:firstColumn="0" w:lastColumn="0" w:oddVBand="0" w:evenVBand="0" w:oddHBand="0"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8492" w:type="dxa"/>
          </w:tcPr>
          <w:p w:rsidR="00CF6447" w:rsidRPr="00CF6447" w:rsidRDefault="00CF6447" w:rsidP="00CF6447">
            <w:pPr>
              <w:ind w:left="284" w:right="221"/>
              <w:contextualSpacing/>
              <w:jc w:val="both"/>
              <w:rPr>
                <w:rFonts w:ascii="Tahoma" w:hAnsi="Tahoma" w:cs="Tahoma"/>
                <w:bCs w:val="0"/>
                <w:sz w:val="24"/>
                <w:szCs w:val="24"/>
                <w:lang w:val="es-ES"/>
              </w:rPr>
            </w:pPr>
            <w:r w:rsidRPr="0051452B">
              <w:rPr>
                <w:rFonts w:ascii="Tahoma" w:hAnsi="Tahoma" w:cs="Tahoma"/>
                <w:b w:val="0"/>
                <w:bCs w:val="0"/>
                <w:sz w:val="24"/>
                <w:szCs w:val="24"/>
                <w:lang w:val="es-ES"/>
              </w:rPr>
              <w:t>2015:</w:t>
            </w:r>
            <w:r w:rsidRPr="0051452B">
              <w:rPr>
                <w:rFonts w:ascii="Tahoma" w:hAnsi="Tahoma" w:cs="Tahoma"/>
                <w:bCs w:val="0"/>
                <w:sz w:val="24"/>
                <w:szCs w:val="24"/>
                <w:lang w:val="es-ES"/>
              </w:rPr>
              <w:t xml:space="preserve"> por conceptos de impuestos se proyectó l</w:t>
            </w:r>
            <w:r w:rsidRPr="00CF6447">
              <w:rPr>
                <w:rFonts w:ascii="Tahoma" w:hAnsi="Tahoma" w:cs="Tahoma"/>
                <w:bCs w:val="0"/>
                <w:sz w:val="24"/>
                <w:szCs w:val="24"/>
                <w:lang w:val="es-ES"/>
              </w:rPr>
              <w:t>a cantidad de $2,372´</w:t>
            </w:r>
            <w:r w:rsidRPr="0051452B">
              <w:rPr>
                <w:rFonts w:ascii="Tahoma" w:hAnsi="Tahoma" w:cs="Tahoma"/>
                <w:bCs w:val="0"/>
                <w:sz w:val="24"/>
                <w:szCs w:val="24"/>
                <w:lang w:val="es-ES"/>
              </w:rPr>
              <w:t xml:space="preserve">507,175 </w:t>
            </w:r>
            <w:r w:rsidRPr="00CF6447">
              <w:rPr>
                <w:rFonts w:ascii="Tahoma" w:hAnsi="Tahoma" w:cs="Tahoma"/>
                <w:bCs w:val="0"/>
                <w:sz w:val="24"/>
                <w:szCs w:val="24"/>
                <w:lang w:val="es-ES"/>
              </w:rPr>
              <w:t>Mdp</w:t>
            </w:r>
            <w:r w:rsidRPr="0051452B">
              <w:rPr>
                <w:rFonts w:ascii="Tahoma" w:hAnsi="Tahoma" w:cs="Tahoma"/>
                <w:bCs w:val="0"/>
                <w:sz w:val="24"/>
                <w:szCs w:val="24"/>
                <w:lang w:val="es-ES"/>
              </w:rPr>
              <w:t xml:space="preserve">, al final del ejercicio la </w:t>
            </w:r>
            <w:r w:rsidRPr="00CF6447">
              <w:rPr>
                <w:rFonts w:ascii="Tahoma" w:hAnsi="Tahoma" w:cs="Tahoma"/>
                <w:bCs w:val="0"/>
                <w:sz w:val="24"/>
                <w:szCs w:val="24"/>
                <w:lang w:val="es-ES"/>
              </w:rPr>
              <w:t>recaudación fue de $2,</w:t>
            </w:r>
            <w:r w:rsidRPr="0051452B">
              <w:rPr>
                <w:rFonts w:ascii="Tahoma" w:hAnsi="Tahoma" w:cs="Tahoma"/>
                <w:bCs w:val="0"/>
                <w:sz w:val="24"/>
                <w:szCs w:val="24"/>
                <w:lang w:val="es-ES"/>
              </w:rPr>
              <w:t>620</w:t>
            </w:r>
            <w:r w:rsidRPr="00CF6447">
              <w:rPr>
                <w:rFonts w:ascii="Tahoma" w:hAnsi="Tahoma" w:cs="Tahoma"/>
                <w:bCs w:val="0"/>
                <w:sz w:val="24"/>
                <w:szCs w:val="24"/>
                <w:lang w:val="es-ES"/>
              </w:rPr>
              <w:t>´</w:t>
            </w:r>
            <w:r w:rsidRPr="0051452B">
              <w:rPr>
                <w:rFonts w:ascii="Tahoma" w:hAnsi="Tahoma" w:cs="Tahoma"/>
                <w:bCs w:val="0"/>
                <w:sz w:val="24"/>
                <w:szCs w:val="24"/>
                <w:lang w:val="es-ES"/>
              </w:rPr>
              <w:t xml:space="preserve">659,498 </w:t>
            </w:r>
            <w:r w:rsidRPr="00CF6447">
              <w:rPr>
                <w:rFonts w:ascii="Tahoma" w:hAnsi="Tahoma" w:cs="Tahoma"/>
                <w:bCs w:val="0"/>
                <w:sz w:val="24"/>
                <w:szCs w:val="24"/>
                <w:lang w:val="es-ES"/>
              </w:rPr>
              <w:t>Mdp</w:t>
            </w:r>
            <w:r w:rsidRPr="0051452B">
              <w:rPr>
                <w:rFonts w:ascii="Tahoma" w:hAnsi="Tahoma" w:cs="Tahoma"/>
                <w:bCs w:val="0"/>
                <w:sz w:val="24"/>
                <w:szCs w:val="24"/>
                <w:lang w:val="es-ES"/>
              </w:rPr>
              <w:t xml:space="preserve"> obteniendo una variación porcentual de 9.46 % a favor.</w:t>
            </w:r>
          </w:p>
        </w:tc>
      </w:tr>
      <w:tr w:rsidR="00CF6447" w:rsidRPr="00CF6447" w:rsidTr="00F42DE2">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8492" w:type="dxa"/>
          </w:tcPr>
          <w:p w:rsidR="00CF6447" w:rsidRPr="00CF6447" w:rsidRDefault="00CF6447" w:rsidP="00CF6447">
            <w:pPr>
              <w:ind w:left="284" w:right="221"/>
              <w:contextualSpacing/>
              <w:jc w:val="both"/>
              <w:rPr>
                <w:rFonts w:ascii="Tahoma" w:eastAsiaTheme="minorEastAsia" w:hAnsi="Tahoma" w:cs="Tahoma"/>
                <w:sz w:val="24"/>
                <w:szCs w:val="24"/>
                <w:lang w:val="es-ES"/>
              </w:rPr>
            </w:pPr>
            <w:r w:rsidRPr="0051452B">
              <w:rPr>
                <w:rFonts w:ascii="Tahoma" w:hAnsi="Tahoma" w:cs="Tahoma"/>
                <w:b w:val="0"/>
                <w:bCs w:val="0"/>
                <w:sz w:val="24"/>
                <w:szCs w:val="24"/>
                <w:lang w:val="es-ES"/>
              </w:rPr>
              <w:t>2016:</w:t>
            </w:r>
            <w:r w:rsidRPr="0051452B">
              <w:rPr>
                <w:rFonts w:ascii="Tahoma" w:hAnsi="Tahoma" w:cs="Tahoma"/>
                <w:bCs w:val="0"/>
                <w:sz w:val="24"/>
                <w:szCs w:val="24"/>
                <w:lang w:val="es-ES"/>
              </w:rPr>
              <w:t xml:space="preserve"> por concepto de impuestos se proyectó la cantidad de $2, 835, 610,990 </w:t>
            </w:r>
            <w:r w:rsidRPr="00CF6447">
              <w:rPr>
                <w:rFonts w:ascii="Tahoma" w:hAnsi="Tahoma" w:cs="Tahoma"/>
                <w:bCs w:val="0"/>
                <w:sz w:val="24"/>
                <w:szCs w:val="24"/>
                <w:lang w:val="es-ES"/>
              </w:rPr>
              <w:t>Mdp</w:t>
            </w:r>
            <w:r w:rsidRPr="0051452B">
              <w:rPr>
                <w:rFonts w:ascii="Tahoma" w:hAnsi="Tahoma" w:cs="Tahoma"/>
                <w:bCs w:val="0"/>
                <w:sz w:val="24"/>
                <w:szCs w:val="24"/>
                <w:lang w:val="es-ES"/>
              </w:rPr>
              <w:t xml:space="preserve">, la </w:t>
            </w:r>
            <w:r w:rsidRPr="00CF6447">
              <w:rPr>
                <w:rFonts w:ascii="Tahoma" w:hAnsi="Tahoma" w:cs="Tahoma"/>
                <w:bCs w:val="0"/>
                <w:sz w:val="24"/>
                <w:szCs w:val="24"/>
                <w:lang w:val="es-ES"/>
              </w:rPr>
              <w:t>recaudación fue de</w:t>
            </w:r>
            <w:r w:rsidRPr="0051452B">
              <w:rPr>
                <w:rFonts w:ascii="Tahoma" w:hAnsi="Tahoma" w:cs="Tahoma"/>
                <w:bCs w:val="0"/>
                <w:sz w:val="24"/>
                <w:szCs w:val="24"/>
                <w:lang w:val="es-ES"/>
              </w:rPr>
              <w:t xml:space="preserve"> $3, 003, 306,866 </w:t>
            </w:r>
            <w:r w:rsidRPr="00CF6447">
              <w:rPr>
                <w:rFonts w:ascii="Tahoma" w:hAnsi="Tahoma" w:cs="Tahoma"/>
                <w:bCs w:val="0"/>
                <w:sz w:val="24"/>
                <w:szCs w:val="24"/>
                <w:lang w:val="es-ES"/>
              </w:rPr>
              <w:t>Mdp</w:t>
            </w:r>
            <w:r w:rsidRPr="0051452B">
              <w:rPr>
                <w:rFonts w:ascii="Tahoma" w:hAnsi="Tahoma" w:cs="Tahoma"/>
                <w:bCs w:val="0"/>
                <w:sz w:val="24"/>
                <w:szCs w:val="24"/>
                <w:lang w:val="es-ES"/>
              </w:rPr>
              <w:t xml:space="preserve"> obteniendo una variación porcentual de 5.58 % a favor.</w:t>
            </w:r>
          </w:p>
        </w:tc>
      </w:tr>
      <w:tr w:rsidR="00CF6447" w:rsidRPr="00CF6447" w:rsidTr="00F42DE2">
        <w:trPr>
          <w:trHeight w:val="1256"/>
        </w:trPr>
        <w:tc>
          <w:tcPr>
            <w:cnfStyle w:val="001000000000" w:firstRow="0" w:lastRow="0" w:firstColumn="1" w:lastColumn="0" w:oddVBand="0" w:evenVBand="0" w:oddHBand="0" w:evenHBand="0" w:firstRowFirstColumn="0" w:firstRowLastColumn="0" w:lastRowFirstColumn="0" w:lastRowLastColumn="0"/>
            <w:tcW w:w="8492" w:type="dxa"/>
          </w:tcPr>
          <w:p w:rsidR="00CF6447" w:rsidRPr="00CF6447" w:rsidRDefault="00CF6447" w:rsidP="00CF6447">
            <w:pPr>
              <w:ind w:left="284" w:right="221"/>
              <w:contextualSpacing/>
              <w:jc w:val="both"/>
              <w:rPr>
                <w:rFonts w:ascii="Tahoma" w:eastAsiaTheme="minorEastAsia" w:hAnsi="Tahoma" w:cs="Tahoma"/>
                <w:sz w:val="24"/>
                <w:szCs w:val="24"/>
                <w:lang w:val="es-ES"/>
              </w:rPr>
            </w:pPr>
            <w:r w:rsidRPr="0051452B">
              <w:rPr>
                <w:rFonts w:ascii="Tahoma" w:hAnsi="Tahoma" w:cs="Tahoma"/>
                <w:b w:val="0"/>
                <w:bCs w:val="0"/>
                <w:sz w:val="24"/>
                <w:szCs w:val="24"/>
                <w:lang w:val="es-ES"/>
              </w:rPr>
              <w:t>2017:</w:t>
            </w:r>
            <w:r w:rsidRPr="0051452B">
              <w:rPr>
                <w:rFonts w:ascii="Tahoma" w:hAnsi="Tahoma" w:cs="Tahoma"/>
                <w:bCs w:val="0"/>
                <w:sz w:val="24"/>
                <w:szCs w:val="24"/>
                <w:lang w:val="es-ES"/>
              </w:rPr>
              <w:t xml:space="preserve"> por concepto de impuestos</w:t>
            </w:r>
            <w:r w:rsidRPr="00CF6447">
              <w:rPr>
                <w:rFonts w:ascii="Tahoma" w:hAnsi="Tahoma" w:cs="Tahoma"/>
                <w:bCs w:val="0"/>
                <w:sz w:val="24"/>
                <w:szCs w:val="24"/>
                <w:lang w:val="es-ES"/>
              </w:rPr>
              <w:t xml:space="preserve"> se proyectó la cantidad de $3,</w:t>
            </w:r>
            <w:r w:rsidRPr="0051452B">
              <w:rPr>
                <w:rFonts w:ascii="Tahoma" w:hAnsi="Tahoma" w:cs="Tahoma"/>
                <w:bCs w:val="0"/>
                <w:sz w:val="24"/>
                <w:szCs w:val="24"/>
                <w:lang w:val="es-ES"/>
              </w:rPr>
              <w:t>137</w:t>
            </w:r>
            <w:r w:rsidRPr="00CF6447">
              <w:rPr>
                <w:rFonts w:ascii="Tahoma" w:hAnsi="Tahoma" w:cs="Tahoma"/>
                <w:bCs w:val="0"/>
                <w:sz w:val="24"/>
                <w:szCs w:val="24"/>
                <w:lang w:val="es-ES"/>
              </w:rPr>
              <w:t>´</w:t>
            </w:r>
            <w:r w:rsidRPr="0051452B">
              <w:rPr>
                <w:rFonts w:ascii="Tahoma" w:hAnsi="Tahoma" w:cs="Tahoma"/>
                <w:bCs w:val="0"/>
                <w:sz w:val="24"/>
                <w:szCs w:val="24"/>
                <w:lang w:val="es-ES"/>
              </w:rPr>
              <w:t xml:space="preserve">515,969  </w:t>
            </w:r>
            <w:r w:rsidRPr="00CF6447">
              <w:rPr>
                <w:rFonts w:ascii="Tahoma" w:hAnsi="Tahoma" w:cs="Tahoma"/>
                <w:bCs w:val="0"/>
                <w:sz w:val="24"/>
                <w:szCs w:val="24"/>
                <w:lang w:val="es-ES"/>
              </w:rPr>
              <w:t>M</w:t>
            </w:r>
            <w:r w:rsidRPr="0051452B">
              <w:rPr>
                <w:rFonts w:ascii="Tahoma" w:hAnsi="Tahoma" w:cs="Tahoma"/>
                <w:bCs w:val="0"/>
                <w:sz w:val="24"/>
                <w:szCs w:val="24"/>
                <w:lang w:val="es-ES"/>
              </w:rPr>
              <w:t>dp, s</w:t>
            </w:r>
            <w:r w:rsidRPr="00CF6447">
              <w:rPr>
                <w:rFonts w:ascii="Tahoma" w:hAnsi="Tahoma" w:cs="Tahoma"/>
                <w:bCs w:val="0"/>
                <w:sz w:val="24"/>
                <w:szCs w:val="24"/>
                <w:lang w:val="es-ES"/>
              </w:rPr>
              <w:t xml:space="preserve">in embargo la recaudación fue </w:t>
            </w:r>
            <w:r w:rsidRPr="0051452B">
              <w:rPr>
                <w:rFonts w:ascii="Tahoma" w:hAnsi="Tahoma" w:cs="Tahoma"/>
                <w:bCs w:val="0"/>
                <w:sz w:val="24"/>
                <w:szCs w:val="24"/>
                <w:lang w:val="es-ES"/>
              </w:rPr>
              <w:t>de $3</w:t>
            </w:r>
            <w:r w:rsidRPr="00CF6447">
              <w:rPr>
                <w:rFonts w:ascii="Tahoma" w:hAnsi="Tahoma" w:cs="Tahoma"/>
                <w:bCs w:val="0"/>
                <w:sz w:val="24"/>
                <w:szCs w:val="24"/>
                <w:lang w:val="es-ES"/>
              </w:rPr>
              <w:t>,805´</w:t>
            </w:r>
            <w:r w:rsidRPr="0051452B">
              <w:rPr>
                <w:rFonts w:ascii="Tahoma" w:hAnsi="Tahoma" w:cs="Tahoma"/>
                <w:bCs w:val="0"/>
                <w:sz w:val="24"/>
                <w:szCs w:val="24"/>
                <w:lang w:val="es-ES"/>
              </w:rPr>
              <w:t>746,338 de pesos obteniendo una variación porcentual de 17.55% a favor</w:t>
            </w:r>
          </w:p>
        </w:tc>
      </w:tr>
    </w:tbl>
    <w:p w:rsidR="00B60713" w:rsidRDefault="00A47A26" w:rsidP="00A47A26">
      <w:pPr>
        <w:spacing w:after="0" w:line="240" w:lineRule="auto"/>
        <w:contextualSpacing/>
        <w:jc w:val="both"/>
        <w:rPr>
          <w:rFonts w:ascii="Tahoma" w:hAnsi="Tahoma" w:cs="Tahoma"/>
          <w:sz w:val="20"/>
        </w:rPr>
      </w:pPr>
      <w:r>
        <w:rPr>
          <w:rFonts w:ascii="Tahoma" w:hAnsi="Tahoma" w:cs="Tahoma"/>
          <w:sz w:val="20"/>
        </w:rPr>
        <w:t>Fuente: Elaboración propia, con información de: Transparencia Fiscal, Secretaría de Planeación y Finanzas del Gobierno del Estado de Baja California, 2010-2017.</w:t>
      </w:r>
    </w:p>
    <w:p w:rsidR="00F42DE2" w:rsidRPr="00F42DE2" w:rsidRDefault="006D4B80" w:rsidP="00F42DE2">
      <w:pPr>
        <w:spacing w:after="120" w:line="240" w:lineRule="auto"/>
        <w:contextualSpacing/>
        <w:jc w:val="both"/>
        <w:rPr>
          <w:rFonts w:ascii="Tahoma" w:hAnsi="Tahoma" w:cs="Tahoma"/>
          <w:sz w:val="28"/>
          <w:szCs w:val="28"/>
        </w:rPr>
      </w:pPr>
      <w:r w:rsidRPr="00F42DE2">
        <w:rPr>
          <w:rFonts w:ascii="Tahoma" w:hAnsi="Tahoma" w:cs="Tahoma"/>
          <w:bCs/>
          <w:noProof/>
          <w:sz w:val="28"/>
          <w:szCs w:val="28"/>
          <w:lang w:val="en-US"/>
        </w:rPr>
        <mc:AlternateContent>
          <mc:Choice Requires="wps">
            <w:drawing>
              <wp:anchor distT="0" distB="0" distL="114300" distR="114300" simplePos="0" relativeHeight="251723264" behindDoc="1" locked="0" layoutInCell="1" allowOverlap="1" wp14:anchorId="02B7521B" wp14:editId="4DD59A5E">
                <wp:simplePos x="0" y="0"/>
                <wp:positionH relativeFrom="margin">
                  <wp:posOffset>-165735</wp:posOffset>
                </wp:positionH>
                <wp:positionV relativeFrom="paragraph">
                  <wp:posOffset>208024</wp:posOffset>
                </wp:positionV>
                <wp:extent cx="5961133" cy="3091218"/>
                <wp:effectExtent l="0" t="0" r="1905" b="0"/>
                <wp:wrapNone/>
                <wp:docPr id="42" name="Rectángulo redondeado 42"/>
                <wp:cNvGraphicFramePr/>
                <a:graphic xmlns:a="http://schemas.openxmlformats.org/drawingml/2006/main">
                  <a:graphicData uri="http://schemas.microsoft.com/office/word/2010/wordprocessingShape">
                    <wps:wsp>
                      <wps:cNvSpPr/>
                      <wps:spPr>
                        <a:xfrm>
                          <a:off x="0" y="0"/>
                          <a:ext cx="5961133" cy="3091218"/>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02993D" id="Rectángulo redondeado 42" o:spid="_x0000_s1026" style="position:absolute;margin-left:-13.05pt;margin-top:16.4pt;width:469.4pt;height:243.4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cptwIAANgFAAAOAAAAZHJzL2Uyb0RvYy54bWysVM1u2zAMvg/YOwi6r7bTtGuDOkXQosOA&#10;bi3aDj2r+okNyKImKXGyt9mz7MVGSY6bdd0Ow3JQRIr8SH4meXa+6TRZS+dbMDWtDkpKpOEgWrOs&#10;6ZeHq3cnlPjAjGAajKzpVnp6Pn/75qy3MzmBBrSQjiCI8bPe1rQJwc6KwvNGdswfgJUGHxW4jgUU&#10;3bIQjvWI3uliUpbHRQ9OWAdceo/ay/xI5wlfKcnDjVJeBqJrirmFdLp0PsWzmJ+x2dIx27R8SIP9&#10;QxYdaw0GHaEuWWBk5drfoLqWO/CgwgGHrgClWi5TDVhNVb6o5r5hVqZakBxvR5r8/4Pln9e3jrSi&#10;ptMJJYZ1+I3ukLUf381ypYE4KcAIyQQQNEC2eutn6HRvb90gebzG0jfKdfEfiyKbxPB2ZFhuAuGo&#10;PDo9rqrDQ0o4vh2Wp9WkOomoxbO7dT58kNCReKmpg5URMaNEL1tf+5Dtd3YxpAfdiqtW6yTE3pEX&#10;2pE1w6/OOJcmTJK7XnWfQGT9cYm//P1RjV2S1dOdGlNKXRiRUoK/BNEmhjIQg+Z8oqaI7GQ+0i1s&#10;tYx22txJhSwjAzmREXk/xyrl6BsmZFYf/TGXBBiRFcYfsQeA1+qvBpYH++gq03iMzmWO/jfn0SNF&#10;BhNG56414F4D0GGMnO13JGVqIktPILbYgw7ycHrLr1r89NfMh1vmcBpxbnHDhBs8lIa+pjDcKGnA&#10;fXtNH+1xSPCVkh6nu6b+64o5SYn+aHB8TqvpNK6DJEyP3k9QcPsvT/svZtVdALZShbvM8nSN9kHv&#10;rspB94iLaBGj4hMzHGPXlAe3Ey5C3jq4yrhcLJIZrgDLwrW5tzyCR1ZjVz9sHpmzQ/8HHJ3PsNsE&#10;bPZiArJt9DSwWAVQbRqPZ14HvnF9pCYeVl3cT/tysnpeyPOfAAAA//8DAFBLAwQUAAYACAAAACEA&#10;zYU0IeIAAAAKAQAADwAAAGRycy9kb3ducmV2LnhtbEyPQUvDQBCF74L/YRnBW7tJxNTGTIoUelAo&#10;2Cp63WTHJG12N2S3beKvdzzpcZiP976Xr0bTiTMNvnUWIZ5HIMhWTre2Rnh/28weQPigrFads4Qw&#10;kYdVcX2Vq0y7i93ReR9qwSHWZwqhCaHPpPRVQ0b5uevJ8u/LDUYFPoda6kFdONx0MomiVBrVWm5o&#10;VE/rhqrj/mQQDtvN4fO4oG30Mr3u1t/PH1NdJoi3N+PTI4hAY/iD4Vef1aFgp9KdrPaiQ5glacwo&#10;wl3CExhYxskCRIlwHy9TkEUu/08ofgAAAP//AwBQSwECLQAUAAYACAAAACEAtoM4kv4AAADhAQAA&#10;EwAAAAAAAAAAAAAAAAAAAAAAW0NvbnRlbnRfVHlwZXNdLnhtbFBLAQItABQABgAIAAAAIQA4/SH/&#10;1gAAAJQBAAALAAAAAAAAAAAAAAAAAC8BAABfcmVscy8ucmVsc1BLAQItABQABgAIAAAAIQBCZXcp&#10;twIAANgFAAAOAAAAAAAAAAAAAAAAAC4CAABkcnMvZTJvRG9jLnhtbFBLAQItABQABgAIAAAAIQDN&#10;hTQh4gAAAAoBAAAPAAAAAAAAAAAAAAAAABEFAABkcnMvZG93bnJldi54bWxQSwUGAAAAAAQABADz&#10;AAAAIAYAAAAA&#10;" fillcolor="#d99594 [1941]" stroked="f" strokeweight="2pt">
                <w10:wrap anchorx="margin"/>
              </v:roundrect>
            </w:pict>
          </mc:Fallback>
        </mc:AlternateContent>
      </w:r>
    </w:p>
    <w:p w:rsidR="00F42DE2" w:rsidRPr="00F42DE2" w:rsidRDefault="00F42DE2" w:rsidP="00F42DE2">
      <w:pPr>
        <w:spacing w:after="120" w:line="240" w:lineRule="auto"/>
        <w:contextualSpacing/>
        <w:jc w:val="both"/>
        <w:rPr>
          <w:rFonts w:ascii="Tahoma" w:hAnsi="Tahoma" w:cs="Tahoma"/>
          <w:sz w:val="28"/>
          <w:szCs w:val="28"/>
        </w:rPr>
      </w:pPr>
    </w:p>
    <w:p w:rsidR="00B60713" w:rsidRPr="00F42DE2" w:rsidRDefault="00B60713" w:rsidP="00F42DE2">
      <w:pPr>
        <w:spacing w:after="0" w:line="360" w:lineRule="auto"/>
        <w:contextualSpacing/>
        <w:jc w:val="both"/>
        <w:rPr>
          <w:rFonts w:ascii="Tahoma" w:eastAsiaTheme="minorEastAsia" w:hAnsi="Tahoma" w:cs="Tahoma"/>
          <w:sz w:val="24"/>
          <w:szCs w:val="24"/>
          <w:lang w:val="es-ES"/>
        </w:rPr>
      </w:pPr>
      <w:r w:rsidRPr="00F42DE2">
        <w:rPr>
          <w:rFonts w:ascii="Tahoma" w:eastAsiaTheme="minorEastAsia" w:hAnsi="Tahoma" w:cs="Tahoma"/>
          <w:b/>
          <w:color w:val="632423" w:themeColor="accent2" w:themeShade="80"/>
          <w:sz w:val="28"/>
          <w:szCs w:val="28"/>
          <w:lang w:val="es-ES"/>
        </w:rPr>
        <w:t>El destino de estos recursos extras</w:t>
      </w:r>
      <w:r w:rsidRPr="00F42DE2">
        <w:rPr>
          <w:rFonts w:ascii="Tahoma" w:eastAsiaTheme="minorEastAsia" w:hAnsi="Tahoma" w:cs="Tahoma"/>
          <w:sz w:val="28"/>
          <w:szCs w:val="28"/>
          <w:lang w:val="es-ES"/>
        </w:rPr>
        <w:t>,</w:t>
      </w:r>
      <w:r w:rsidRPr="00F42DE2">
        <w:rPr>
          <w:rFonts w:ascii="Tahoma" w:eastAsiaTheme="minorEastAsia" w:hAnsi="Tahoma" w:cs="Tahoma"/>
          <w:color w:val="943634" w:themeColor="accent2" w:themeShade="BF"/>
          <w:sz w:val="28"/>
          <w:szCs w:val="28"/>
          <w:lang w:val="es-ES"/>
        </w:rPr>
        <w:t xml:space="preserve"> </w:t>
      </w:r>
      <w:r w:rsidRPr="00F42DE2">
        <w:rPr>
          <w:rFonts w:ascii="Tahoma" w:eastAsiaTheme="minorEastAsia" w:hAnsi="Tahoma" w:cs="Tahoma"/>
          <w:sz w:val="24"/>
          <w:szCs w:val="24"/>
          <w:lang w:val="es-ES"/>
        </w:rPr>
        <w:t xml:space="preserve">ha sido la inversión pública y gasto corriente, la oportunidad para el panorama fiscal en Baja California radica, en el aprovechamiento de este pequeño remanente para emprender acciones de fortalecimiento del ingreso propio, algunas de estas actividades </w:t>
      </w:r>
      <w:r w:rsidR="005907A5" w:rsidRPr="00F42DE2">
        <w:rPr>
          <w:rFonts w:ascii="Tahoma" w:eastAsiaTheme="minorEastAsia" w:hAnsi="Tahoma" w:cs="Tahoma"/>
          <w:sz w:val="24"/>
          <w:szCs w:val="24"/>
          <w:lang w:val="es-ES"/>
        </w:rPr>
        <w:t>s</w:t>
      </w:r>
      <w:r w:rsidR="00D37E98" w:rsidRPr="00F42DE2">
        <w:rPr>
          <w:rFonts w:ascii="Tahoma" w:eastAsiaTheme="minorEastAsia" w:hAnsi="Tahoma" w:cs="Tahoma"/>
          <w:sz w:val="24"/>
          <w:szCs w:val="24"/>
          <w:lang w:val="es-ES"/>
        </w:rPr>
        <w:t>ería</w:t>
      </w:r>
      <w:r w:rsidR="005907A5" w:rsidRPr="00F42DE2">
        <w:rPr>
          <w:rFonts w:ascii="Tahoma" w:eastAsiaTheme="minorEastAsia" w:hAnsi="Tahoma" w:cs="Tahoma"/>
          <w:sz w:val="24"/>
          <w:szCs w:val="24"/>
          <w:lang w:val="es-ES"/>
        </w:rPr>
        <w:t>n</w:t>
      </w:r>
      <w:r w:rsidRPr="00F42DE2">
        <w:rPr>
          <w:rFonts w:ascii="Tahoma" w:eastAsiaTheme="minorEastAsia" w:hAnsi="Tahoma" w:cs="Tahoma"/>
          <w:sz w:val="24"/>
          <w:szCs w:val="24"/>
          <w:lang w:val="es-ES"/>
        </w:rPr>
        <w:t>:</w:t>
      </w:r>
    </w:p>
    <w:p w:rsidR="00B60713" w:rsidRPr="00F42DE2" w:rsidRDefault="00B60713" w:rsidP="00F42DE2">
      <w:pPr>
        <w:numPr>
          <w:ilvl w:val="0"/>
          <w:numId w:val="15"/>
        </w:numPr>
        <w:spacing w:after="0" w:line="360" w:lineRule="auto"/>
        <w:ind w:left="851" w:hanging="567"/>
        <w:contextualSpacing/>
        <w:jc w:val="both"/>
        <w:rPr>
          <w:rFonts w:ascii="Tahoma" w:eastAsiaTheme="minorEastAsia" w:hAnsi="Tahoma" w:cs="Tahoma"/>
          <w:sz w:val="24"/>
          <w:szCs w:val="24"/>
          <w:lang w:val="es-ES"/>
        </w:rPr>
      </w:pPr>
      <w:r w:rsidRPr="00F42DE2">
        <w:rPr>
          <w:rFonts w:ascii="Tahoma" w:eastAsiaTheme="minorEastAsia" w:hAnsi="Tahoma" w:cs="Tahoma"/>
          <w:sz w:val="24"/>
          <w:szCs w:val="24"/>
          <w:lang w:val="es-ES"/>
        </w:rPr>
        <w:t xml:space="preserve">Reactivación e incremento </w:t>
      </w:r>
      <w:r w:rsidR="00CF6447" w:rsidRPr="00F42DE2">
        <w:rPr>
          <w:rFonts w:ascii="Tahoma" w:eastAsiaTheme="minorEastAsia" w:hAnsi="Tahoma" w:cs="Tahoma"/>
          <w:sz w:val="24"/>
          <w:szCs w:val="24"/>
          <w:lang w:val="es-ES"/>
        </w:rPr>
        <w:t>de visitas</w:t>
      </w:r>
      <w:r w:rsidRPr="00F42DE2">
        <w:rPr>
          <w:rFonts w:ascii="Tahoma" w:hAnsi="Tahoma" w:cs="Tahoma"/>
          <w:sz w:val="24"/>
          <w:szCs w:val="24"/>
          <w:lang w:val="es-ES"/>
        </w:rPr>
        <w:t xml:space="preserve"> a domicilios fiscales y establecimientos para su inscripción al Régimen de Incorporación Fiscal, esta acción propiciaría un efecto en cadena para el incremento de la participación estatal en la recaudación federal, lo que también implicaría (de aplicarse adecuadamente) un aumento en el ingreso por concepto de </w:t>
      </w:r>
      <w:r w:rsidR="00F42DE2" w:rsidRPr="00F42DE2">
        <w:rPr>
          <w:rFonts w:ascii="Tahoma" w:hAnsi="Tahoma" w:cs="Tahoma"/>
          <w:sz w:val="24"/>
          <w:szCs w:val="24"/>
          <w:lang w:val="es-ES"/>
        </w:rPr>
        <w:t>aportaciones y participaciones.</w:t>
      </w:r>
    </w:p>
    <w:p w:rsidR="00F42DE2" w:rsidRPr="00F42DE2" w:rsidRDefault="00F42DE2" w:rsidP="00F42DE2">
      <w:pPr>
        <w:spacing w:after="120" w:line="240" w:lineRule="auto"/>
        <w:contextualSpacing/>
        <w:jc w:val="both"/>
        <w:rPr>
          <w:rFonts w:ascii="Tahoma" w:hAnsi="Tahoma" w:cs="Tahoma"/>
          <w:sz w:val="28"/>
          <w:szCs w:val="28"/>
          <w:lang w:val="es-ES"/>
        </w:rPr>
      </w:pPr>
    </w:p>
    <w:p w:rsidR="00B60713" w:rsidRPr="0051452B" w:rsidRDefault="00F44C08" w:rsidP="00F42DE2">
      <w:pPr>
        <w:pStyle w:val="Heading2"/>
        <w:spacing w:before="0" w:line="480" w:lineRule="auto"/>
        <w:contextualSpacing/>
        <w:jc w:val="both"/>
        <w:rPr>
          <w:rFonts w:ascii="Tahoma" w:eastAsiaTheme="minorEastAsia" w:hAnsi="Tahoma" w:cs="Tahoma"/>
          <w:color w:val="943634" w:themeColor="accent2" w:themeShade="BF"/>
          <w:sz w:val="24"/>
          <w:szCs w:val="24"/>
          <w:lang w:val="es-ES"/>
        </w:rPr>
      </w:pPr>
      <w:bookmarkStart w:id="21" w:name="_Toc520556950"/>
      <w:r>
        <w:rPr>
          <w:rFonts w:ascii="Tahoma" w:eastAsiaTheme="minorEastAsia" w:hAnsi="Tahoma" w:cs="Tahoma"/>
          <w:color w:val="943634" w:themeColor="accent2" w:themeShade="BF"/>
          <w:sz w:val="24"/>
          <w:szCs w:val="24"/>
          <w:lang w:val="es-ES"/>
        </w:rPr>
        <w:t>Debilidades</w:t>
      </w:r>
      <w:bookmarkEnd w:id="21"/>
    </w:p>
    <w:p w:rsidR="0046639D" w:rsidRDefault="0046639D" w:rsidP="0071037E">
      <w:pPr>
        <w:spacing w:after="240" w:line="480" w:lineRule="auto"/>
        <w:contextualSpacing/>
        <w:jc w:val="both"/>
        <w:rPr>
          <w:rFonts w:ascii="Tahoma" w:eastAsiaTheme="minorEastAsia" w:hAnsi="Tahoma" w:cs="Tahoma"/>
          <w:b/>
          <w:color w:val="943634" w:themeColor="accent2" w:themeShade="BF"/>
          <w:sz w:val="24"/>
          <w:szCs w:val="24"/>
        </w:rPr>
      </w:pPr>
      <w:r>
        <w:rPr>
          <w:rFonts w:ascii="Tahoma" w:eastAsiaTheme="minorEastAsia" w:hAnsi="Tahoma" w:cs="Tahoma"/>
          <w:b/>
          <w:color w:val="943634" w:themeColor="accent2" w:themeShade="BF"/>
          <w:sz w:val="24"/>
          <w:szCs w:val="24"/>
        </w:rPr>
        <w:t>Ámbito Presupuestal</w:t>
      </w:r>
      <w:r w:rsidRPr="007C1D9A">
        <w:rPr>
          <w:rFonts w:ascii="Tahoma" w:eastAsiaTheme="minorEastAsia" w:hAnsi="Tahoma" w:cs="Tahoma"/>
          <w:b/>
          <w:color w:val="943634" w:themeColor="accent2" w:themeShade="BF"/>
          <w:sz w:val="24"/>
          <w:szCs w:val="24"/>
        </w:rPr>
        <w:t>:</w:t>
      </w:r>
    </w:p>
    <w:p w:rsidR="00B60713" w:rsidRPr="0051452B" w:rsidRDefault="00B60713" w:rsidP="0071037E">
      <w:pPr>
        <w:spacing w:after="480" w:line="480" w:lineRule="auto"/>
        <w:contextualSpacing/>
        <w:jc w:val="both"/>
        <w:rPr>
          <w:rFonts w:ascii="Tahoma" w:eastAsiaTheme="minorEastAsia" w:hAnsi="Tahoma" w:cs="Tahoma"/>
          <w:sz w:val="24"/>
          <w:szCs w:val="24"/>
          <w:lang w:val="es-ES"/>
        </w:rPr>
      </w:pPr>
      <w:r w:rsidRPr="0051452B">
        <w:rPr>
          <w:rFonts w:ascii="Tahoma" w:eastAsiaTheme="minorEastAsia" w:hAnsi="Tahoma" w:cs="Tahoma"/>
          <w:b/>
          <w:color w:val="943634" w:themeColor="accent2" w:themeShade="BF"/>
          <w:sz w:val="24"/>
          <w:szCs w:val="24"/>
        </w:rPr>
        <w:t>Dependencia excesiva de los recursos federales</w:t>
      </w:r>
      <w:r w:rsidRPr="0051452B">
        <w:rPr>
          <w:rFonts w:ascii="Tahoma" w:eastAsiaTheme="minorEastAsia" w:hAnsi="Tahoma" w:cs="Tahoma"/>
          <w:color w:val="943634" w:themeColor="accent2" w:themeShade="BF"/>
          <w:sz w:val="24"/>
          <w:szCs w:val="24"/>
        </w:rPr>
        <w:t xml:space="preserve">: </w:t>
      </w:r>
      <w:r w:rsidRPr="0051452B">
        <w:rPr>
          <w:rFonts w:ascii="Tahoma" w:eastAsiaTheme="minorEastAsia" w:hAnsi="Tahoma" w:cs="Tahoma"/>
          <w:sz w:val="24"/>
          <w:szCs w:val="24"/>
        </w:rPr>
        <w:t xml:space="preserve">Como </w:t>
      </w:r>
      <w:r w:rsidR="0046639D">
        <w:rPr>
          <w:rFonts w:ascii="Tahoma" w:eastAsiaTheme="minorEastAsia" w:hAnsi="Tahoma" w:cs="Tahoma"/>
          <w:sz w:val="24"/>
          <w:szCs w:val="24"/>
        </w:rPr>
        <w:t>se ha presentado en esta evaluación</w:t>
      </w:r>
      <w:r w:rsidRPr="0051452B">
        <w:rPr>
          <w:rFonts w:ascii="Tahoma" w:eastAsiaTheme="minorEastAsia" w:hAnsi="Tahoma" w:cs="Tahoma"/>
          <w:sz w:val="24"/>
          <w:szCs w:val="24"/>
        </w:rPr>
        <w:t>, aproximadamente el</w:t>
      </w:r>
      <w:r w:rsidRPr="0051452B">
        <w:rPr>
          <w:rFonts w:ascii="Tahoma" w:eastAsiaTheme="minorEastAsia" w:hAnsi="Tahoma" w:cs="Tahoma"/>
          <w:sz w:val="24"/>
          <w:szCs w:val="24"/>
          <w:lang w:val="es-ES"/>
        </w:rPr>
        <w:t xml:space="preserve"> 80% de los ingresos</w:t>
      </w:r>
      <w:r w:rsidR="0046639D">
        <w:rPr>
          <w:rFonts w:ascii="Tahoma" w:eastAsiaTheme="minorEastAsia" w:hAnsi="Tahoma" w:cs="Tahoma"/>
          <w:sz w:val="24"/>
          <w:szCs w:val="24"/>
          <w:lang w:val="es-ES"/>
        </w:rPr>
        <w:t xml:space="preserve"> estatales,</w:t>
      </w:r>
      <w:r w:rsidRPr="0051452B">
        <w:rPr>
          <w:rFonts w:ascii="Tahoma" w:eastAsiaTheme="minorEastAsia" w:hAnsi="Tahoma" w:cs="Tahoma"/>
          <w:sz w:val="24"/>
          <w:szCs w:val="24"/>
          <w:lang w:val="es-ES"/>
        </w:rPr>
        <w:t xml:space="preserve"> proviene de transferencias federales ya sean aportaciones y/o participaciones, que por su naturaleza se encuentran etiquetados para su destino, en el caso de Baja California como se ha observado principalmente se distribuyen en educación y seguridad, las consecuencias de esta situación se observan en la limitada capacidad de maniobra del gobierno de para financiar proyectos locales, por lo que el desarrollo municipal se ve cooptado.</w:t>
      </w:r>
    </w:p>
    <w:p w:rsidR="005A24D0" w:rsidRDefault="005A24D0" w:rsidP="0071037E">
      <w:pPr>
        <w:spacing w:after="240" w:line="480" w:lineRule="auto"/>
        <w:contextualSpacing/>
        <w:jc w:val="both"/>
        <w:rPr>
          <w:rFonts w:ascii="Tahoma" w:eastAsiaTheme="minorEastAsia" w:hAnsi="Tahoma" w:cs="Tahoma"/>
          <w:b/>
          <w:color w:val="943634" w:themeColor="accent2" w:themeShade="BF"/>
          <w:sz w:val="24"/>
          <w:szCs w:val="24"/>
        </w:rPr>
      </w:pPr>
    </w:p>
    <w:p w:rsidR="0046639D" w:rsidRDefault="0046639D" w:rsidP="0071037E">
      <w:pPr>
        <w:spacing w:after="240" w:line="480" w:lineRule="auto"/>
        <w:contextualSpacing/>
        <w:jc w:val="both"/>
        <w:rPr>
          <w:rFonts w:ascii="Tahoma" w:eastAsiaTheme="minorEastAsia" w:hAnsi="Tahoma" w:cs="Tahoma"/>
          <w:b/>
          <w:color w:val="943634" w:themeColor="accent2" w:themeShade="BF"/>
          <w:sz w:val="24"/>
          <w:szCs w:val="24"/>
        </w:rPr>
      </w:pPr>
      <w:r>
        <w:rPr>
          <w:rFonts w:ascii="Tahoma" w:eastAsiaTheme="minorEastAsia" w:hAnsi="Tahoma" w:cs="Tahoma"/>
          <w:b/>
          <w:color w:val="943634" w:themeColor="accent2" w:themeShade="BF"/>
          <w:sz w:val="24"/>
          <w:szCs w:val="24"/>
        </w:rPr>
        <w:t>Ámbito Cobertura</w:t>
      </w:r>
      <w:r w:rsidRPr="007C1D9A">
        <w:rPr>
          <w:rFonts w:ascii="Tahoma" w:eastAsiaTheme="minorEastAsia" w:hAnsi="Tahoma" w:cs="Tahoma"/>
          <w:b/>
          <w:color w:val="943634" w:themeColor="accent2" w:themeShade="BF"/>
          <w:sz w:val="24"/>
          <w:szCs w:val="24"/>
        </w:rPr>
        <w:t>:</w:t>
      </w:r>
    </w:p>
    <w:p w:rsidR="00B60713" w:rsidRPr="0051452B" w:rsidRDefault="0071037E" w:rsidP="0071037E">
      <w:pPr>
        <w:spacing w:after="480" w:line="480" w:lineRule="auto"/>
        <w:contextualSpacing/>
        <w:jc w:val="both"/>
        <w:rPr>
          <w:rFonts w:ascii="Tahoma" w:eastAsiaTheme="minorEastAsia" w:hAnsi="Tahoma" w:cs="Tahoma"/>
          <w:sz w:val="24"/>
          <w:szCs w:val="24"/>
          <w:lang w:val="es-ES"/>
        </w:rPr>
      </w:pPr>
      <w:r w:rsidRPr="0071037E">
        <w:rPr>
          <w:rFonts w:ascii="Tahoma" w:eastAsiaTheme="minorEastAsia" w:hAnsi="Tahoma" w:cs="Tahoma"/>
          <w:b/>
          <w:color w:val="943634" w:themeColor="accent2" w:themeShade="BF"/>
          <w:sz w:val="24"/>
          <w:szCs w:val="24"/>
        </w:rPr>
        <w:t>Inequidad en términos nominales, de la distribución bruta por municipio.</w:t>
      </w:r>
      <w:r>
        <w:rPr>
          <w:rFonts w:ascii="Tahoma" w:eastAsiaTheme="minorEastAsia" w:hAnsi="Tahoma" w:cs="Tahoma"/>
          <w:sz w:val="24"/>
          <w:szCs w:val="24"/>
          <w:lang w:val="es-ES"/>
        </w:rPr>
        <w:t xml:space="preserve"> </w:t>
      </w:r>
      <w:r w:rsidR="0046639D">
        <w:rPr>
          <w:rFonts w:ascii="Tahoma" w:eastAsiaTheme="minorEastAsia" w:hAnsi="Tahoma" w:cs="Tahoma"/>
          <w:sz w:val="24"/>
          <w:szCs w:val="24"/>
          <w:lang w:val="es-ES"/>
        </w:rPr>
        <w:t>El</w:t>
      </w:r>
      <w:r w:rsidR="00B60713" w:rsidRPr="0051452B">
        <w:rPr>
          <w:rFonts w:ascii="Tahoma" w:eastAsiaTheme="minorEastAsia" w:hAnsi="Tahoma" w:cs="Tahoma"/>
          <w:sz w:val="24"/>
          <w:szCs w:val="24"/>
          <w:lang w:val="es-ES"/>
        </w:rPr>
        <w:t xml:space="preserve"> municipio de Tijuana el más beneficiado con la distribución estatal, </w:t>
      </w:r>
      <w:r w:rsidR="00D37E98">
        <w:rPr>
          <w:rFonts w:ascii="Tahoma" w:eastAsiaTheme="minorEastAsia" w:hAnsi="Tahoma" w:cs="Tahoma"/>
          <w:sz w:val="24"/>
          <w:szCs w:val="24"/>
          <w:lang w:val="es-ES"/>
        </w:rPr>
        <w:t xml:space="preserve">51% del Total, </w:t>
      </w:r>
      <w:r w:rsidR="00B60713" w:rsidRPr="0051452B">
        <w:rPr>
          <w:rFonts w:ascii="Tahoma" w:eastAsiaTheme="minorEastAsia" w:hAnsi="Tahoma" w:cs="Tahoma"/>
          <w:sz w:val="24"/>
          <w:szCs w:val="24"/>
          <w:lang w:val="es-ES"/>
        </w:rPr>
        <w:t>de acuerdo con los criterios del gasto federalizado, por sus dimensiones y aportación desde el año 2010, más es la capital del estado Mexicali, quien manifiesta un incremento porcentual mayor por concepto de recaudación de impuesto predial y el correspondiente al traslado de dominio, así las acciones adecuadas para emprender</w:t>
      </w:r>
      <w:r w:rsidR="00F44C08">
        <w:rPr>
          <w:rFonts w:ascii="Tahoma" w:eastAsiaTheme="minorEastAsia" w:hAnsi="Tahoma" w:cs="Tahoma"/>
          <w:sz w:val="24"/>
          <w:szCs w:val="24"/>
          <w:lang w:val="es-ES"/>
        </w:rPr>
        <w:t xml:space="preserve"> esta problemática podrían ser:</w:t>
      </w:r>
    </w:p>
    <w:p w:rsidR="00B60713" w:rsidRPr="0051452B" w:rsidRDefault="00B60713" w:rsidP="0071037E">
      <w:pPr>
        <w:numPr>
          <w:ilvl w:val="1"/>
          <w:numId w:val="11"/>
        </w:numPr>
        <w:spacing w:after="480" w:line="480" w:lineRule="auto"/>
        <w:ind w:left="851" w:hanging="851"/>
        <w:contextualSpacing/>
        <w:jc w:val="both"/>
        <w:rPr>
          <w:rFonts w:ascii="Tahoma" w:eastAsiaTheme="minorEastAsia" w:hAnsi="Tahoma" w:cs="Tahoma"/>
          <w:sz w:val="24"/>
          <w:szCs w:val="24"/>
          <w:lang w:val="es-ES"/>
        </w:rPr>
      </w:pPr>
      <w:r w:rsidRPr="0051452B">
        <w:rPr>
          <w:rFonts w:ascii="Tahoma" w:eastAsiaTheme="minorEastAsia" w:hAnsi="Tahoma" w:cs="Tahoma"/>
          <w:sz w:val="24"/>
          <w:szCs w:val="24"/>
          <w:lang w:val="es-ES"/>
        </w:rPr>
        <w:t xml:space="preserve">Fortalecer el sistema de recaudación fiscal del municipio de Mexicali y Tijuana, que presentan un mayor desenvolvimiento y efectividad, mediante la incorporación de recursos </w:t>
      </w:r>
      <w:r w:rsidRPr="0051452B">
        <w:rPr>
          <w:rFonts w:ascii="Tahoma" w:hAnsi="Tahoma" w:cs="Tahoma"/>
          <w:sz w:val="24"/>
          <w:szCs w:val="24"/>
          <w:lang w:val="es-ES"/>
        </w:rPr>
        <w:t>técnicos, tecnológicos enfocados en la recaudación del impuesto predial y el traslado de dominio.</w:t>
      </w:r>
    </w:p>
    <w:p w:rsidR="00B60713" w:rsidRDefault="00B60713" w:rsidP="0071037E">
      <w:pPr>
        <w:numPr>
          <w:ilvl w:val="1"/>
          <w:numId w:val="11"/>
        </w:numPr>
        <w:tabs>
          <w:tab w:val="clear" w:pos="1440"/>
        </w:tabs>
        <w:spacing w:after="480" w:line="480" w:lineRule="auto"/>
        <w:ind w:left="851" w:hanging="709"/>
        <w:contextualSpacing/>
        <w:jc w:val="both"/>
        <w:rPr>
          <w:rFonts w:ascii="Tahoma" w:eastAsiaTheme="minorEastAsia" w:hAnsi="Tahoma" w:cs="Tahoma"/>
          <w:sz w:val="24"/>
          <w:szCs w:val="24"/>
          <w:lang w:val="es-ES"/>
        </w:rPr>
      </w:pPr>
      <w:r w:rsidRPr="0051452B">
        <w:rPr>
          <w:rFonts w:ascii="Tahoma" w:eastAsiaTheme="minorEastAsia" w:hAnsi="Tahoma" w:cs="Tahoma"/>
          <w:sz w:val="24"/>
          <w:szCs w:val="24"/>
          <w:lang w:val="es-ES"/>
        </w:rPr>
        <w:t xml:space="preserve">Incrementar la presencia de la autoridad fiscal frente a los contribuyentes, mediante los actos de fiscalización, ya sea mediante la emisión de cartas de invitación o requerimientos directos a contribuyentes morosos. </w:t>
      </w:r>
    </w:p>
    <w:p w:rsidR="005A24D0" w:rsidRDefault="005A24D0" w:rsidP="0071037E">
      <w:pPr>
        <w:spacing w:before="120" w:after="240" w:line="480" w:lineRule="auto"/>
        <w:contextualSpacing/>
        <w:jc w:val="both"/>
        <w:rPr>
          <w:rFonts w:ascii="Tahoma" w:eastAsiaTheme="minorEastAsia" w:hAnsi="Tahoma" w:cs="Tahoma"/>
          <w:b/>
          <w:color w:val="943634" w:themeColor="accent2" w:themeShade="BF"/>
          <w:szCs w:val="24"/>
        </w:rPr>
      </w:pPr>
    </w:p>
    <w:p w:rsidR="0046639D" w:rsidRPr="0046639D" w:rsidRDefault="0046639D" w:rsidP="0071037E">
      <w:pPr>
        <w:spacing w:before="120" w:after="240" w:line="480" w:lineRule="auto"/>
        <w:contextualSpacing/>
        <w:jc w:val="both"/>
        <w:rPr>
          <w:rFonts w:ascii="Tahoma" w:eastAsiaTheme="minorEastAsia" w:hAnsi="Tahoma" w:cs="Tahoma"/>
          <w:b/>
          <w:color w:val="943634" w:themeColor="accent2" w:themeShade="BF"/>
          <w:szCs w:val="24"/>
        </w:rPr>
      </w:pPr>
      <w:r w:rsidRPr="0046639D">
        <w:rPr>
          <w:rFonts w:ascii="Tahoma" w:eastAsiaTheme="minorEastAsia" w:hAnsi="Tahoma" w:cs="Tahoma"/>
          <w:b/>
          <w:color w:val="943634" w:themeColor="accent2" w:themeShade="BF"/>
          <w:szCs w:val="24"/>
        </w:rPr>
        <w:t xml:space="preserve">Ámbito </w:t>
      </w:r>
      <w:r>
        <w:rPr>
          <w:rFonts w:ascii="Tahoma" w:eastAsiaTheme="minorEastAsia" w:hAnsi="Tahoma" w:cs="Tahoma"/>
          <w:b/>
          <w:color w:val="943634" w:themeColor="accent2" w:themeShade="BF"/>
          <w:szCs w:val="24"/>
        </w:rPr>
        <w:t>Indicadores</w:t>
      </w:r>
      <w:r w:rsidRPr="0046639D">
        <w:rPr>
          <w:rFonts w:ascii="Tahoma" w:eastAsiaTheme="minorEastAsia" w:hAnsi="Tahoma" w:cs="Tahoma"/>
          <w:b/>
          <w:color w:val="943634" w:themeColor="accent2" w:themeShade="BF"/>
          <w:szCs w:val="24"/>
        </w:rPr>
        <w:t>:</w:t>
      </w:r>
    </w:p>
    <w:p w:rsidR="00B60713" w:rsidRDefault="0071037E" w:rsidP="00F42DE2">
      <w:pPr>
        <w:spacing w:after="480" w:line="480" w:lineRule="auto"/>
        <w:contextualSpacing/>
        <w:jc w:val="both"/>
        <w:rPr>
          <w:rFonts w:ascii="Tahoma" w:eastAsiaTheme="minorEastAsia" w:hAnsi="Tahoma" w:cs="Tahoma"/>
          <w:sz w:val="24"/>
          <w:szCs w:val="24"/>
          <w:lang w:val="es-ES"/>
        </w:rPr>
      </w:pPr>
      <w:r w:rsidRPr="0071037E">
        <w:rPr>
          <w:rFonts w:ascii="Tahoma" w:eastAsiaTheme="minorEastAsia" w:hAnsi="Tahoma" w:cs="Tahoma"/>
          <w:b/>
          <w:color w:val="943634" w:themeColor="accent2" w:themeShade="BF"/>
          <w:szCs w:val="24"/>
        </w:rPr>
        <w:t xml:space="preserve">Indicadores de seguimiento Presupuestal únicamente. </w:t>
      </w:r>
      <w:r w:rsidR="00B60713" w:rsidRPr="0051452B">
        <w:rPr>
          <w:rFonts w:ascii="Tahoma" w:eastAsiaTheme="minorEastAsia" w:hAnsi="Tahoma" w:cs="Tahoma"/>
          <w:sz w:val="24"/>
          <w:szCs w:val="24"/>
          <w:lang w:val="es-ES"/>
        </w:rPr>
        <w:t xml:space="preserve">De acuerdo con el indicador de cumplimiento de metas de fiscalización por métodos de presencia fiscal, Baja california, ha cumplido desde el año 2015 con las metas propuestas en relación con los actos de presencia fiscal y auditoria terminada, con la resolución de pago o convenio por parte del contribuyente, sin embargo, </w:t>
      </w:r>
      <w:r w:rsidR="00F44C08" w:rsidRPr="0051452B">
        <w:rPr>
          <w:rFonts w:ascii="Tahoma" w:eastAsiaTheme="minorEastAsia" w:hAnsi="Tahoma" w:cs="Tahoma"/>
          <w:sz w:val="24"/>
          <w:szCs w:val="24"/>
          <w:lang w:val="es-ES"/>
        </w:rPr>
        <w:t>más</w:t>
      </w:r>
      <w:r w:rsidR="00B60713" w:rsidRPr="0051452B">
        <w:rPr>
          <w:rFonts w:ascii="Tahoma" w:eastAsiaTheme="minorEastAsia" w:hAnsi="Tahoma" w:cs="Tahoma"/>
          <w:sz w:val="24"/>
          <w:szCs w:val="24"/>
          <w:lang w:val="es-ES"/>
        </w:rPr>
        <w:t xml:space="preserve"> allá de las metas propuestas por la autoridad fiscal, se requieren redoblar esfuerzos para identificar a estos contribuyentes, ya que representan una gran oportunidad de ingresos para el estado</w:t>
      </w:r>
      <w:r w:rsidR="00D37E98">
        <w:rPr>
          <w:rFonts w:ascii="Tahoma" w:eastAsiaTheme="minorEastAsia" w:hAnsi="Tahoma" w:cs="Tahoma"/>
          <w:sz w:val="24"/>
          <w:szCs w:val="24"/>
          <w:lang w:val="es-ES"/>
        </w:rPr>
        <w:t xml:space="preserve"> de acuerdo a las fórmulas de redistribución de los Fondos Participables</w:t>
      </w:r>
      <w:r w:rsidR="00F42DE2">
        <w:rPr>
          <w:rFonts w:ascii="Tahoma" w:eastAsiaTheme="minorEastAsia" w:hAnsi="Tahoma" w:cs="Tahoma"/>
          <w:sz w:val="24"/>
          <w:szCs w:val="24"/>
          <w:lang w:val="es-ES"/>
        </w:rPr>
        <w:t>.</w:t>
      </w:r>
    </w:p>
    <w:p w:rsidR="00B60713" w:rsidRPr="0051452B" w:rsidRDefault="00B60713" w:rsidP="00A47A26">
      <w:pPr>
        <w:pStyle w:val="Heading2"/>
        <w:spacing w:before="0" w:line="480" w:lineRule="auto"/>
        <w:contextualSpacing/>
        <w:jc w:val="both"/>
        <w:rPr>
          <w:rFonts w:ascii="Tahoma" w:eastAsiaTheme="minorEastAsia" w:hAnsi="Tahoma" w:cs="Tahoma"/>
          <w:color w:val="943634" w:themeColor="accent2" w:themeShade="BF"/>
          <w:sz w:val="24"/>
          <w:szCs w:val="24"/>
          <w:lang w:val="es-ES"/>
        </w:rPr>
      </w:pPr>
      <w:bookmarkStart w:id="22" w:name="_Toc520556951"/>
      <w:r w:rsidRPr="0051452B">
        <w:rPr>
          <w:rFonts w:ascii="Tahoma" w:eastAsiaTheme="minorEastAsia" w:hAnsi="Tahoma" w:cs="Tahoma"/>
          <w:color w:val="943634" w:themeColor="accent2" w:themeShade="BF"/>
          <w:sz w:val="24"/>
          <w:szCs w:val="24"/>
          <w:lang w:val="es-ES"/>
        </w:rPr>
        <w:t>Amenazas</w:t>
      </w:r>
      <w:bookmarkEnd w:id="22"/>
      <w:r w:rsidRPr="0051452B">
        <w:rPr>
          <w:rFonts w:ascii="Tahoma" w:eastAsiaTheme="minorEastAsia" w:hAnsi="Tahoma" w:cs="Tahoma"/>
          <w:color w:val="943634" w:themeColor="accent2" w:themeShade="BF"/>
          <w:sz w:val="24"/>
          <w:szCs w:val="24"/>
          <w:lang w:val="es-ES"/>
        </w:rPr>
        <w:t xml:space="preserve"> </w:t>
      </w:r>
    </w:p>
    <w:p w:rsidR="0046639D" w:rsidRDefault="0046639D" w:rsidP="00A47A26">
      <w:pPr>
        <w:spacing w:after="0" w:line="480" w:lineRule="auto"/>
        <w:contextualSpacing/>
        <w:jc w:val="both"/>
        <w:rPr>
          <w:rFonts w:ascii="Tahoma" w:eastAsiaTheme="minorEastAsia" w:hAnsi="Tahoma" w:cs="Tahoma"/>
          <w:b/>
          <w:color w:val="943634" w:themeColor="accent2" w:themeShade="BF"/>
          <w:sz w:val="24"/>
          <w:szCs w:val="24"/>
        </w:rPr>
      </w:pPr>
      <w:r>
        <w:rPr>
          <w:rFonts w:ascii="Tahoma" w:eastAsiaTheme="minorEastAsia" w:hAnsi="Tahoma" w:cs="Tahoma"/>
          <w:b/>
          <w:color w:val="943634" w:themeColor="accent2" w:themeShade="BF"/>
          <w:sz w:val="24"/>
          <w:szCs w:val="24"/>
        </w:rPr>
        <w:t>Ámbito Presupuestal</w:t>
      </w:r>
      <w:r w:rsidRPr="007C1D9A">
        <w:rPr>
          <w:rFonts w:ascii="Tahoma" w:eastAsiaTheme="minorEastAsia" w:hAnsi="Tahoma" w:cs="Tahoma"/>
          <w:b/>
          <w:color w:val="943634" w:themeColor="accent2" w:themeShade="BF"/>
          <w:sz w:val="24"/>
          <w:szCs w:val="24"/>
        </w:rPr>
        <w:t>:</w:t>
      </w:r>
    </w:p>
    <w:p w:rsidR="00B60713" w:rsidRPr="0051452B" w:rsidRDefault="00B60713" w:rsidP="0071037E">
      <w:pPr>
        <w:spacing w:after="480" w:line="480" w:lineRule="auto"/>
        <w:contextualSpacing/>
        <w:jc w:val="both"/>
        <w:rPr>
          <w:rFonts w:ascii="Tahoma" w:eastAsiaTheme="minorEastAsia" w:hAnsi="Tahoma" w:cs="Tahoma"/>
          <w:sz w:val="24"/>
          <w:szCs w:val="24"/>
          <w:lang w:val="es-ES"/>
        </w:rPr>
      </w:pPr>
      <w:r w:rsidRPr="0051452B">
        <w:rPr>
          <w:rFonts w:ascii="Tahoma" w:eastAsiaTheme="minorEastAsia" w:hAnsi="Tahoma" w:cs="Tahoma"/>
          <w:b/>
          <w:color w:val="943634" w:themeColor="accent2" w:themeShade="BF"/>
          <w:sz w:val="24"/>
          <w:szCs w:val="24"/>
          <w:lang w:val="es-ES"/>
        </w:rPr>
        <w:t>Inestabilidad macroeconómica:</w:t>
      </w:r>
      <w:r w:rsidRPr="0051452B">
        <w:rPr>
          <w:rFonts w:ascii="Tahoma" w:eastAsiaTheme="minorEastAsia" w:hAnsi="Tahoma" w:cs="Tahoma"/>
          <w:color w:val="943634" w:themeColor="accent2" w:themeShade="BF"/>
          <w:sz w:val="24"/>
          <w:szCs w:val="24"/>
          <w:lang w:val="es-ES"/>
        </w:rPr>
        <w:t xml:space="preserve"> </w:t>
      </w:r>
      <w:r w:rsidRPr="0051452B">
        <w:rPr>
          <w:rFonts w:ascii="Tahoma" w:eastAsiaTheme="minorEastAsia" w:hAnsi="Tahoma" w:cs="Tahoma"/>
          <w:sz w:val="24"/>
          <w:szCs w:val="24"/>
          <w:lang w:val="es-ES"/>
        </w:rPr>
        <w:t xml:space="preserve">La </w:t>
      </w:r>
      <w:r w:rsidR="00D37E98">
        <w:rPr>
          <w:rFonts w:ascii="Tahoma" w:eastAsiaTheme="minorEastAsia" w:hAnsi="Tahoma" w:cs="Tahoma"/>
          <w:sz w:val="24"/>
          <w:szCs w:val="24"/>
          <w:lang w:val="es-ES"/>
        </w:rPr>
        <w:t>alta dependencia de las Participaciones y a decir de los recursos Federales en Baja California, ante la ines</w:t>
      </w:r>
      <w:r w:rsidRPr="0051452B">
        <w:rPr>
          <w:rFonts w:ascii="Tahoma" w:eastAsiaTheme="minorEastAsia" w:hAnsi="Tahoma" w:cs="Tahoma"/>
          <w:sz w:val="24"/>
          <w:szCs w:val="24"/>
          <w:lang w:val="es-ES"/>
        </w:rPr>
        <w:t xml:space="preserve">tabilidad macroeconómica del país y la conducción de sus finanzas son determinantes en la distribución equitativa de los ingresos estatales, por lo que como consecuencia de la dependencia de las aportaciones y participaciones federales, cualquier contingencia que pudiese afectar el quehacer de la federación, también lo haría con la descentralización del recurso hacia Baja California, que como </w:t>
      </w:r>
      <w:r w:rsidR="00D37E98">
        <w:rPr>
          <w:rFonts w:ascii="Tahoma" w:eastAsiaTheme="minorEastAsia" w:hAnsi="Tahoma" w:cs="Tahoma"/>
          <w:sz w:val="24"/>
          <w:szCs w:val="24"/>
          <w:lang w:val="es-ES"/>
        </w:rPr>
        <w:t>se ha expuesto corresponde alrededor del</w:t>
      </w:r>
      <w:r w:rsidRPr="0051452B">
        <w:rPr>
          <w:rFonts w:ascii="Tahoma" w:eastAsiaTheme="minorEastAsia" w:hAnsi="Tahoma" w:cs="Tahoma"/>
          <w:sz w:val="24"/>
          <w:szCs w:val="24"/>
          <w:lang w:val="es-ES"/>
        </w:rPr>
        <w:t xml:space="preserve"> 80</w:t>
      </w:r>
      <w:r w:rsidR="00F44C08" w:rsidRPr="0051452B">
        <w:rPr>
          <w:rFonts w:ascii="Tahoma" w:eastAsiaTheme="minorEastAsia" w:hAnsi="Tahoma" w:cs="Tahoma"/>
          <w:sz w:val="24"/>
          <w:szCs w:val="24"/>
          <w:lang w:val="es-ES"/>
        </w:rPr>
        <w:t xml:space="preserve">% </w:t>
      </w:r>
      <w:r w:rsidR="00D37E98">
        <w:rPr>
          <w:rFonts w:ascii="Tahoma" w:eastAsiaTheme="minorEastAsia" w:hAnsi="Tahoma" w:cs="Tahoma"/>
          <w:sz w:val="24"/>
          <w:szCs w:val="24"/>
          <w:lang w:val="es-ES"/>
        </w:rPr>
        <w:t>del Ingreso Estatal</w:t>
      </w:r>
      <w:r w:rsidRPr="0051452B">
        <w:rPr>
          <w:rFonts w:ascii="Tahoma" w:eastAsiaTheme="minorEastAsia" w:hAnsi="Tahoma" w:cs="Tahoma"/>
          <w:sz w:val="24"/>
          <w:szCs w:val="24"/>
          <w:lang w:val="es-ES"/>
        </w:rPr>
        <w:t xml:space="preserve">. </w:t>
      </w:r>
    </w:p>
    <w:p w:rsidR="005A24D0" w:rsidRDefault="005A24D0" w:rsidP="0071037E">
      <w:pPr>
        <w:spacing w:after="240" w:line="480" w:lineRule="auto"/>
        <w:contextualSpacing/>
        <w:jc w:val="both"/>
        <w:rPr>
          <w:rFonts w:ascii="Tahoma" w:eastAsiaTheme="minorEastAsia" w:hAnsi="Tahoma" w:cs="Tahoma"/>
          <w:b/>
          <w:color w:val="943634" w:themeColor="accent2" w:themeShade="BF"/>
          <w:sz w:val="24"/>
          <w:szCs w:val="24"/>
        </w:rPr>
      </w:pPr>
    </w:p>
    <w:p w:rsidR="0071037E" w:rsidRDefault="0071037E" w:rsidP="0071037E">
      <w:pPr>
        <w:spacing w:after="240" w:line="480" w:lineRule="auto"/>
        <w:contextualSpacing/>
        <w:jc w:val="both"/>
        <w:rPr>
          <w:rFonts w:ascii="Tahoma" w:eastAsiaTheme="minorEastAsia" w:hAnsi="Tahoma" w:cs="Tahoma"/>
          <w:b/>
          <w:color w:val="943634" w:themeColor="accent2" w:themeShade="BF"/>
          <w:sz w:val="24"/>
          <w:szCs w:val="24"/>
        </w:rPr>
      </w:pPr>
      <w:r>
        <w:rPr>
          <w:rFonts w:ascii="Tahoma" w:eastAsiaTheme="minorEastAsia" w:hAnsi="Tahoma" w:cs="Tahoma"/>
          <w:b/>
          <w:color w:val="943634" w:themeColor="accent2" w:themeShade="BF"/>
          <w:sz w:val="24"/>
          <w:szCs w:val="24"/>
        </w:rPr>
        <w:t>Ámbito Cobertura:</w:t>
      </w:r>
    </w:p>
    <w:p w:rsidR="00B60713" w:rsidRPr="0051452B" w:rsidRDefault="00B60713" w:rsidP="0071037E">
      <w:pPr>
        <w:spacing w:after="480" w:line="480" w:lineRule="auto"/>
        <w:contextualSpacing/>
        <w:jc w:val="both"/>
        <w:rPr>
          <w:rFonts w:ascii="Tahoma" w:eastAsiaTheme="minorEastAsia" w:hAnsi="Tahoma" w:cs="Tahoma"/>
          <w:sz w:val="24"/>
          <w:szCs w:val="24"/>
          <w:lang w:val="es-ES"/>
        </w:rPr>
      </w:pPr>
      <w:r w:rsidRPr="0051452B">
        <w:rPr>
          <w:rFonts w:ascii="Tahoma" w:eastAsiaTheme="minorEastAsia" w:hAnsi="Tahoma" w:cs="Tahoma"/>
          <w:b/>
          <w:color w:val="943634" w:themeColor="accent2" w:themeShade="BF"/>
          <w:sz w:val="24"/>
          <w:szCs w:val="24"/>
          <w:lang w:val="es-ES"/>
        </w:rPr>
        <w:t xml:space="preserve">Problemas contingentes comunes de cada municipio: </w:t>
      </w:r>
      <w:r w:rsidRPr="0051452B">
        <w:rPr>
          <w:rFonts w:ascii="Tahoma" w:eastAsiaTheme="minorEastAsia" w:hAnsi="Tahoma" w:cs="Tahoma"/>
          <w:sz w:val="24"/>
          <w:szCs w:val="24"/>
          <w:lang w:val="es-ES"/>
        </w:rPr>
        <w:t xml:space="preserve">Los requerimientos de atención continua a problemas públicos que por su naturaleza son impredecibles en términos cuantificables ha sido también una amenaza persistente a las finanzas públicas, específicamente se pueden identificar los siguientes problemas; </w:t>
      </w:r>
    </w:p>
    <w:p w:rsidR="00B60713" w:rsidRPr="0051452B" w:rsidRDefault="00B60713" w:rsidP="00284285">
      <w:pPr>
        <w:spacing w:after="480" w:line="480" w:lineRule="auto"/>
        <w:contextualSpacing/>
        <w:jc w:val="both"/>
        <w:rPr>
          <w:rFonts w:ascii="Tahoma" w:eastAsiaTheme="minorEastAsia" w:hAnsi="Tahoma" w:cs="Tahoma"/>
          <w:sz w:val="24"/>
          <w:szCs w:val="24"/>
          <w:lang w:val="es-ES"/>
        </w:rPr>
      </w:pPr>
      <w:r w:rsidRPr="00284285">
        <w:rPr>
          <w:rFonts w:ascii="Tahoma" w:eastAsiaTheme="minorEastAsia" w:hAnsi="Tahoma" w:cs="Tahoma"/>
          <w:b/>
          <w:color w:val="943634" w:themeColor="accent2" w:themeShade="BF"/>
          <w:sz w:val="24"/>
          <w:szCs w:val="24"/>
          <w:lang w:val="es-ES"/>
        </w:rPr>
        <w:t>Mexicali:</w:t>
      </w:r>
      <w:r w:rsidRPr="0051452B">
        <w:rPr>
          <w:rFonts w:ascii="Tahoma" w:eastAsiaTheme="minorEastAsia" w:hAnsi="Tahoma" w:cs="Tahoma"/>
          <w:sz w:val="24"/>
          <w:szCs w:val="24"/>
          <w:lang w:val="es-ES"/>
        </w:rPr>
        <w:t xml:space="preserve"> Las condiciones climatológicas extremas</w:t>
      </w:r>
      <w:r w:rsidR="00D37E98">
        <w:rPr>
          <w:rFonts w:ascii="Tahoma" w:eastAsiaTheme="minorEastAsia" w:hAnsi="Tahoma" w:cs="Tahoma"/>
          <w:sz w:val="24"/>
          <w:szCs w:val="24"/>
          <w:lang w:val="es-ES"/>
        </w:rPr>
        <w:t>, la tasa de crecimiento de la población promedio de 1.5% anual</w:t>
      </w:r>
      <w:r w:rsidRPr="0051452B">
        <w:rPr>
          <w:rFonts w:ascii="Tahoma" w:eastAsiaTheme="minorEastAsia" w:hAnsi="Tahoma" w:cs="Tahoma"/>
          <w:sz w:val="24"/>
          <w:szCs w:val="24"/>
          <w:lang w:val="es-ES"/>
        </w:rPr>
        <w:t xml:space="preserve"> y la migración derivada de la deportación de connacionales hacen obligatoria la atención gubernamental</w:t>
      </w:r>
      <w:r w:rsidR="00D37E98">
        <w:rPr>
          <w:rFonts w:ascii="Tahoma" w:eastAsiaTheme="minorEastAsia" w:hAnsi="Tahoma" w:cs="Tahoma"/>
          <w:sz w:val="24"/>
          <w:szCs w:val="24"/>
          <w:lang w:val="es-ES"/>
        </w:rPr>
        <w:t xml:space="preserve"> y el incremento en los gastos de servicios que proporciona el Estado</w:t>
      </w:r>
      <w:r w:rsidRPr="0051452B">
        <w:rPr>
          <w:rFonts w:ascii="Tahoma" w:eastAsiaTheme="minorEastAsia" w:hAnsi="Tahoma" w:cs="Tahoma"/>
          <w:sz w:val="24"/>
          <w:szCs w:val="24"/>
          <w:lang w:val="es-ES"/>
        </w:rPr>
        <w:t>.</w:t>
      </w:r>
    </w:p>
    <w:p w:rsidR="005A24D0" w:rsidRDefault="005A24D0" w:rsidP="00284285">
      <w:pPr>
        <w:spacing w:after="480" w:line="480" w:lineRule="auto"/>
        <w:contextualSpacing/>
        <w:jc w:val="both"/>
        <w:rPr>
          <w:rFonts w:ascii="Tahoma" w:eastAsiaTheme="minorEastAsia" w:hAnsi="Tahoma" w:cs="Tahoma"/>
          <w:b/>
          <w:color w:val="943634" w:themeColor="accent2" w:themeShade="BF"/>
          <w:sz w:val="24"/>
          <w:szCs w:val="24"/>
          <w:lang w:val="es-ES"/>
        </w:rPr>
      </w:pPr>
    </w:p>
    <w:p w:rsidR="00B60713" w:rsidRPr="0051452B" w:rsidRDefault="00B60713" w:rsidP="00284285">
      <w:pPr>
        <w:spacing w:after="480" w:line="480" w:lineRule="auto"/>
        <w:contextualSpacing/>
        <w:jc w:val="both"/>
        <w:rPr>
          <w:rFonts w:ascii="Tahoma" w:hAnsi="Tahoma" w:cs="Tahoma"/>
          <w:sz w:val="24"/>
          <w:szCs w:val="24"/>
        </w:rPr>
      </w:pPr>
      <w:r w:rsidRPr="00284285">
        <w:rPr>
          <w:rFonts w:ascii="Tahoma" w:eastAsiaTheme="minorEastAsia" w:hAnsi="Tahoma" w:cs="Tahoma"/>
          <w:b/>
          <w:color w:val="943634" w:themeColor="accent2" w:themeShade="BF"/>
          <w:sz w:val="24"/>
          <w:szCs w:val="24"/>
          <w:lang w:val="es-ES"/>
        </w:rPr>
        <w:t>Tijuana:</w:t>
      </w:r>
      <w:r w:rsidRPr="0051452B">
        <w:rPr>
          <w:rFonts w:ascii="Tahoma" w:hAnsi="Tahoma" w:cs="Tahoma"/>
          <w:sz w:val="24"/>
          <w:szCs w:val="24"/>
        </w:rPr>
        <w:t xml:space="preserve"> La inseguridad es el principal problema de este municipio, </w:t>
      </w:r>
      <w:r w:rsidR="00284285">
        <w:rPr>
          <w:rFonts w:ascii="Tahoma" w:hAnsi="Tahoma" w:cs="Tahoma"/>
          <w:sz w:val="24"/>
          <w:szCs w:val="24"/>
        </w:rPr>
        <w:t xml:space="preserve">con un crecimiento del 17% en los delitos de alto impacto, </w:t>
      </w:r>
      <w:r w:rsidRPr="0051452B">
        <w:rPr>
          <w:rFonts w:ascii="Tahoma" w:hAnsi="Tahoma" w:cs="Tahoma"/>
          <w:sz w:val="24"/>
          <w:szCs w:val="24"/>
        </w:rPr>
        <w:t>causa también de la disminución de inversión y desarrollo competitivo,</w:t>
      </w:r>
      <w:r w:rsidR="005A24D0">
        <w:rPr>
          <w:rFonts w:ascii="Tahoma" w:hAnsi="Tahoma" w:cs="Tahoma"/>
          <w:sz w:val="24"/>
          <w:szCs w:val="24"/>
        </w:rPr>
        <w:t xml:space="preserve"> </w:t>
      </w:r>
      <w:r w:rsidRPr="0051452B">
        <w:rPr>
          <w:rFonts w:ascii="Tahoma" w:hAnsi="Tahoma" w:cs="Tahoma"/>
          <w:sz w:val="24"/>
          <w:szCs w:val="24"/>
        </w:rPr>
        <w:t>por lo que a pesar del destino de recursos en materia de prevención, la inestabilidad de este problema obliga al gobierno del estado a crear cada año diversos mecanismos para atender dicha problemática.</w:t>
      </w:r>
    </w:p>
    <w:p w:rsidR="00B60713" w:rsidRPr="0051452B" w:rsidRDefault="00B60713" w:rsidP="00284285">
      <w:pPr>
        <w:spacing w:after="480" w:line="480" w:lineRule="auto"/>
        <w:contextualSpacing/>
        <w:jc w:val="both"/>
        <w:rPr>
          <w:rFonts w:ascii="Tahoma" w:hAnsi="Tahoma" w:cs="Tahoma"/>
          <w:sz w:val="24"/>
          <w:szCs w:val="24"/>
        </w:rPr>
      </w:pPr>
      <w:r w:rsidRPr="0051452B">
        <w:rPr>
          <w:rFonts w:ascii="Tahoma" w:hAnsi="Tahoma" w:cs="Tahoma"/>
          <w:sz w:val="24"/>
          <w:szCs w:val="24"/>
        </w:rPr>
        <w:t xml:space="preserve">Otra situación que se presenta eventualmente en el municipio de Tijuana son los siniestros por desgajamiento de los cerros afectando viviendas y obras de infraestructura e inestabilidad del territorio. </w:t>
      </w:r>
    </w:p>
    <w:p w:rsidR="005A24D0" w:rsidRDefault="005A24D0" w:rsidP="00284285">
      <w:pPr>
        <w:spacing w:after="480" w:line="480" w:lineRule="auto"/>
        <w:contextualSpacing/>
        <w:jc w:val="both"/>
        <w:rPr>
          <w:rFonts w:ascii="Tahoma" w:eastAsiaTheme="minorEastAsia" w:hAnsi="Tahoma" w:cs="Tahoma"/>
          <w:b/>
          <w:color w:val="943634" w:themeColor="accent2" w:themeShade="BF"/>
          <w:sz w:val="24"/>
          <w:szCs w:val="24"/>
          <w:lang w:val="es-ES"/>
        </w:rPr>
      </w:pPr>
    </w:p>
    <w:p w:rsidR="00B60713" w:rsidRPr="0051452B" w:rsidRDefault="00B60713" w:rsidP="00284285">
      <w:pPr>
        <w:spacing w:after="480" w:line="480" w:lineRule="auto"/>
        <w:contextualSpacing/>
        <w:jc w:val="both"/>
        <w:rPr>
          <w:rFonts w:ascii="Tahoma" w:hAnsi="Tahoma" w:cs="Tahoma"/>
          <w:sz w:val="24"/>
          <w:szCs w:val="24"/>
        </w:rPr>
      </w:pPr>
      <w:r w:rsidRPr="00284285">
        <w:rPr>
          <w:rFonts w:ascii="Tahoma" w:eastAsiaTheme="minorEastAsia" w:hAnsi="Tahoma" w:cs="Tahoma"/>
          <w:b/>
          <w:color w:val="943634" w:themeColor="accent2" w:themeShade="BF"/>
          <w:sz w:val="24"/>
          <w:szCs w:val="24"/>
          <w:lang w:val="es-ES"/>
        </w:rPr>
        <w:t>Ensenada:</w:t>
      </w:r>
      <w:r w:rsidRPr="0051452B">
        <w:rPr>
          <w:rFonts w:ascii="Tahoma" w:hAnsi="Tahoma" w:cs="Tahoma"/>
          <w:sz w:val="24"/>
          <w:szCs w:val="24"/>
          <w:shd w:val="clear" w:color="auto" w:fill="FFFFFF"/>
        </w:rPr>
        <w:t xml:space="preserve"> </w:t>
      </w:r>
      <w:r w:rsidRPr="0051452B">
        <w:rPr>
          <w:rFonts w:ascii="Tahoma" w:hAnsi="Tahoma" w:cs="Tahoma"/>
          <w:sz w:val="24"/>
          <w:szCs w:val="24"/>
          <w:shd w:val="clear" w:color="auto" w:fill="FFFFFF"/>
          <w:lang w:val="es-ES"/>
        </w:rPr>
        <w:t>Los problemas más destacados son</w:t>
      </w:r>
      <w:r w:rsidR="00284285">
        <w:rPr>
          <w:rFonts w:ascii="Tahoma" w:hAnsi="Tahoma" w:cs="Tahoma"/>
          <w:sz w:val="24"/>
          <w:szCs w:val="24"/>
          <w:shd w:val="clear" w:color="auto" w:fill="FFFFFF"/>
          <w:lang w:val="es-ES"/>
        </w:rPr>
        <w:t xml:space="preserve"> la carencia de agua potable y</w:t>
      </w:r>
      <w:r w:rsidRPr="0051452B">
        <w:rPr>
          <w:rFonts w:ascii="Tahoma" w:hAnsi="Tahoma" w:cs="Tahoma"/>
          <w:sz w:val="24"/>
          <w:szCs w:val="24"/>
          <w:shd w:val="clear" w:color="auto" w:fill="FFFFFF"/>
          <w:lang w:val="es-ES"/>
        </w:rPr>
        <w:t xml:space="preserve"> el deficiente tratamiento de las aguas negras y la ineficiente distribución de los permisos para el uso de suelo en el sector privado</w:t>
      </w:r>
      <w:r w:rsidR="00284285">
        <w:rPr>
          <w:rFonts w:ascii="Tahoma" w:hAnsi="Tahoma" w:cs="Tahoma"/>
          <w:sz w:val="24"/>
          <w:szCs w:val="24"/>
          <w:shd w:val="clear" w:color="auto" w:fill="FFFFFF"/>
          <w:lang w:val="es-ES"/>
        </w:rPr>
        <w:t>, provocando el descontento social que impacta directamente en la voluntad contributiva</w:t>
      </w:r>
      <w:r w:rsidRPr="0051452B">
        <w:rPr>
          <w:rFonts w:ascii="Tahoma" w:hAnsi="Tahoma" w:cs="Tahoma"/>
          <w:sz w:val="24"/>
          <w:szCs w:val="24"/>
          <w:shd w:val="clear" w:color="auto" w:fill="FFFFFF"/>
          <w:lang w:val="es-ES"/>
        </w:rPr>
        <w:t>.</w:t>
      </w:r>
    </w:p>
    <w:p w:rsidR="00B60713" w:rsidRDefault="00B60713" w:rsidP="00284285">
      <w:pPr>
        <w:spacing w:after="480" w:line="480" w:lineRule="auto"/>
        <w:contextualSpacing/>
        <w:jc w:val="both"/>
        <w:rPr>
          <w:rFonts w:ascii="Tahoma" w:eastAsiaTheme="minorEastAsia" w:hAnsi="Tahoma" w:cs="Tahoma"/>
          <w:sz w:val="24"/>
          <w:szCs w:val="24"/>
          <w:lang w:val="es-ES"/>
        </w:rPr>
      </w:pPr>
      <w:r w:rsidRPr="0051452B">
        <w:rPr>
          <w:rFonts w:ascii="Tahoma" w:eastAsiaTheme="minorEastAsia" w:hAnsi="Tahoma" w:cs="Tahoma"/>
          <w:sz w:val="24"/>
          <w:szCs w:val="24"/>
          <w:lang w:val="es-ES"/>
        </w:rPr>
        <w:t>En fin, se puede destacar la escasez de capacidades técnicas para optimizar las propiedades de cada municipio, por ejemplo, el caso de Ensenada como referente para la inversión de recursos extranjeros podría representar una fuente de ingreso por concepto de impuestos y derechos importantes, o la búsqueda del incremento en la captación de impuesto predial de los municipios más importantes que son Tijuana y Mexicali, “ya que han posicionado a Baja California en 2do lug</w:t>
      </w:r>
      <w:r w:rsidR="009C4451">
        <w:rPr>
          <w:rFonts w:ascii="Tahoma" w:eastAsiaTheme="minorEastAsia" w:hAnsi="Tahoma" w:cs="Tahoma"/>
          <w:sz w:val="24"/>
          <w:szCs w:val="24"/>
          <w:lang w:val="es-ES"/>
        </w:rPr>
        <w:t>ar desde 1995 “ (INEGI, 2015).</w:t>
      </w:r>
    </w:p>
    <w:p w:rsidR="009C4451" w:rsidRPr="009C4451" w:rsidRDefault="009C4451" w:rsidP="0071037E">
      <w:pPr>
        <w:pStyle w:val="Heading2"/>
        <w:spacing w:before="0" w:after="360" w:line="480" w:lineRule="auto"/>
        <w:rPr>
          <w:rFonts w:eastAsiaTheme="minorEastAsia"/>
          <w:color w:val="943634" w:themeColor="accent2" w:themeShade="BF"/>
          <w:lang w:val="es-ES"/>
        </w:rPr>
      </w:pPr>
      <w:bookmarkStart w:id="23" w:name="_Toc520556952"/>
      <w:r w:rsidRPr="009C4451">
        <w:rPr>
          <w:rFonts w:eastAsiaTheme="minorEastAsia"/>
          <w:color w:val="943634" w:themeColor="accent2" w:themeShade="BF"/>
          <w:lang w:val="es-ES"/>
        </w:rPr>
        <w:t>Recomendaciones</w:t>
      </w:r>
      <w:bookmarkEnd w:id="23"/>
    </w:p>
    <w:p w:rsidR="0071037E" w:rsidRPr="0071037E" w:rsidRDefault="0071037E" w:rsidP="0071037E">
      <w:pPr>
        <w:spacing w:after="480" w:line="480" w:lineRule="auto"/>
        <w:jc w:val="both"/>
        <w:rPr>
          <w:rFonts w:ascii="Tahoma" w:hAnsi="Tahoma" w:cs="Tahoma"/>
          <w:sz w:val="24"/>
          <w:szCs w:val="24"/>
        </w:rPr>
      </w:pPr>
      <w:r>
        <w:rPr>
          <w:rFonts w:ascii="Tahoma" w:hAnsi="Tahoma" w:cs="Tahoma"/>
          <w:sz w:val="24"/>
          <w:szCs w:val="24"/>
        </w:rPr>
        <w:t>Aunque result</w:t>
      </w:r>
      <w:r w:rsidRPr="0071037E">
        <w:rPr>
          <w:rFonts w:ascii="Tahoma" w:hAnsi="Tahoma" w:cs="Tahoma"/>
          <w:sz w:val="24"/>
          <w:szCs w:val="24"/>
        </w:rPr>
        <w:t xml:space="preserve">a difícil emitir recomendaciones respecto a acciones que lleven al incremento de los Ingresos vía Recaudación sin involucrar la contraparte, </w:t>
      </w:r>
      <w:r>
        <w:rPr>
          <w:rFonts w:ascii="Tahoma" w:hAnsi="Tahoma" w:cs="Tahoma"/>
          <w:sz w:val="24"/>
          <w:szCs w:val="24"/>
        </w:rPr>
        <w:t xml:space="preserve">que afecta el disponible del </w:t>
      </w:r>
      <w:r w:rsidRPr="0071037E">
        <w:rPr>
          <w:rFonts w:ascii="Tahoma" w:hAnsi="Tahoma" w:cs="Tahoma"/>
          <w:sz w:val="24"/>
          <w:szCs w:val="24"/>
        </w:rPr>
        <w:t>Contribuyente. En sentido estricto la toma de decisiones respecto al Incremento de Impuestos debe atender los principios de Generalidad, Uniformidad, Equidad, Certidumbre y Comodidad, todos ellos frente al claro costo político y una complejidad administrativa no menor.</w:t>
      </w:r>
    </w:p>
    <w:p w:rsidR="0071037E" w:rsidRDefault="0071037E" w:rsidP="0071037E">
      <w:pPr>
        <w:spacing w:after="480" w:line="480" w:lineRule="auto"/>
        <w:jc w:val="both"/>
        <w:rPr>
          <w:rFonts w:ascii="Tahoma" w:hAnsi="Tahoma" w:cs="Tahoma"/>
          <w:sz w:val="24"/>
          <w:szCs w:val="24"/>
        </w:rPr>
      </w:pPr>
      <w:r w:rsidRPr="0071037E">
        <w:rPr>
          <w:rFonts w:ascii="Tahoma" w:hAnsi="Tahoma" w:cs="Tahoma"/>
          <w:sz w:val="24"/>
          <w:szCs w:val="24"/>
        </w:rPr>
        <w:t>Las acciones que motiven la Contribución e Incentiven a la Sociedad a cumplir, más que a la imposición de más y nuevas tributaciones debe generar ventajas bidireccionadas, ya que se tratará de ingresos propios que no están etiquetados y la Administración local puede decidir libremente las prioridades que atenderá con esos recursos; pero, además, los ingresos tienen un efecto multiplicador por las fórmulas de distribución de ciertos fondos federales que premian la recaudación motivando la Recaudación local, y su retribución a la población en su ámbito Estatal y Municipal.</w:t>
      </w:r>
    </w:p>
    <w:p w:rsidR="009C4451" w:rsidRPr="00B14744" w:rsidRDefault="009C4451" w:rsidP="0071037E">
      <w:pPr>
        <w:spacing w:after="480" w:line="480" w:lineRule="auto"/>
        <w:jc w:val="both"/>
        <w:rPr>
          <w:rFonts w:ascii="Tahoma" w:hAnsi="Tahoma" w:cs="Tahoma"/>
          <w:sz w:val="24"/>
          <w:szCs w:val="24"/>
        </w:rPr>
      </w:pPr>
      <w:r w:rsidRPr="00B14744">
        <w:rPr>
          <w:rFonts w:ascii="Tahoma" w:hAnsi="Tahoma" w:cs="Tahoma"/>
          <w:sz w:val="24"/>
          <w:szCs w:val="24"/>
        </w:rPr>
        <w:t xml:space="preserve">Es necesario que se establezca al menos un indicador del Seguimiento Financiero del 80% de las Participaciones, que </w:t>
      </w:r>
      <w:r w:rsidR="00284285">
        <w:rPr>
          <w:rFonts w:ascii="Tahoma" w:hAnsi="Tahoma" w:cs="Tahoma"/>
          <w:sz w:val="24"/>
          <w:szCs w:val="24"/>
        </w:rPr>
        <w:t>ejerce</w:t>
      </w:r>
      <w:r w:rsidRPr="00B14744">
        <w:rPr>
          <w:rFonts w:ascii="Tahoma" w:hAnsi="Tahoma" w:cs="Tahoma"/>
          <w:sz w:val="24"/>
          <w:szCs w:val="24"/>
        </w:rPr>
        <w:t xml:space="preserve"> </w:t>
      </w:r>
      <w:r w:rsidR="00284285">
        <w:rPr>
          <w:rFonts w:ascii="Tahoma" w:hAnsi="Tahoma" w:cs="Tahoma"/>
          <w:sz w:val="24"/>
          <w:szCs w:val="24"/>
        </w:rPr>
        <w:t>e</w:t>
      </w:r>
      <w:r w:rsidRPr="00B14744">
        <w:rPr>
          <w:rFonts w:ascii="Tahoma" w:hAnsi="Tahoma" w:cs="Tahoma"/>
          <w:sz w:val="24"/>
          <w:szCs w:val="24"/>
        </w:rPr>
        <w:t>l Estado</w:t>
      </w:r>
      <w:r w:rsidR="00284285">
        <w:rPr>
          <w:rFonts w:ascii="Tahoma" w:hAnsi="Tahoma" w:cs="Tahoma"/>
          <w:sz w:val="24"/>
          <w:szCs w:val="24"/>
        </w:rPr>
        <w:t xml:space="preserve"> directamente,</w:t>
      </w:r>
      <w:r w:rsidRPr="00B14744">
        <w:rPr>
          <w:rFonts w:ascii="Tahoma" w:hAnsi="Tahoma" w:cs="Tahoma"/>
          <w:sz w:val="24"/>
          <w:szCs w:val="24"/>
        </w:rPr>
        <w:t xml:space="preserve"> definir su destino y distribución. Si bien es cierto de acuerdo a la normatividad no se trata de recursos etiquetados cuyo destino impacte directamente en programas, si debe establecerse un indicador de Eficiencia Presupuestal similar al establecido para el seguimiento del 20% de las Participaciones que corresponden a los Municipios</w:t>
      </w:r>
      <w:r w:rsidR="00284285">
        <w:rPr>
          <w:rFonts w:ascii="Tahoma" w:hAnsi="Tahoma" w:cs="Tahoma"/>
          <w:sz w:val="24"/>
          <w:szCs w:val="24"/>
        </w:rPr>
        <w:t>, que abarque además del seguimiento financiero, la correcta aplicación y ejercicio de los mismos.</w:t>
      </w:r>
    </w:p>
    <w:p w:rsidR="00062618" w:rsidRPr="00062618" w:rsidRDefault="00062618" w:rsidP="00062618">
      <w:pPr>
        <w:spacing w:after="480" w:line="480" w:lineRule="auto"/>
        <w:jc w:val="both"/>
        <w:rPr>
          <w:rFonts w:ascii="Tahoma" w:hAnsi="Tahoma" w:cs="Tahoma"/>
          <w:sz w:val="24"/>
          <w:szCs w:val="24"/>
        </w:rPr>
      </w:pPr>
      <w:r w:rsidRPr="00062618">
        <w:rPr>
          <w:rFonts w:ascii="Tahoma" w:hAnsi="Tahoma" w:cs="Tahoma"/>
          <w:sz w:val="24"/>
          <w:szCs w:val="24"/>
        </w:rPr>
        <w:t>Ante el análisis presentado, es posible identificar las áreas de oportunidad que permitan, dentro del proceso de Toma de decisiones, contemplar la perspectiva económica y social, bajo las vertientes de la política pública, enfocada no solo al incremento de los Ingresos Estatales vía el aumento de Impuestos. Más bien la visón de Incentivar a la población a Contribuir, mejorar los mecanismos recaudatorios pero principalmente a recobrar la confianza de la ciudadanía en el actuar del gobierno, en la transferencia directa e indirecta de los Bienes y Servicios que el Estado brinda y proporciona a la población, sin distingos ni exclusiones.</w:t>
      </w:r>
    </w:p>
    <w:p w:rsidR="00965EE6" w:rsidRPr="00B60713" w:rsidRDefault="00062618" w:rsidP="00965EE6">
      <w:pPr>
        <w:spacing w:after="480" w:line="480" w:lineRule="auto"/>
        <w:jc w:val="both"/>
        <w:rPr>
          <w:rFonts w:ascii="Tahoma" w:hAnsi="Tahoma" w:cs="Tahoma"/>
          <w:szCs w:val="24"/>
          <w:lang w:val="es-ES" w:eastAsia="es-MX"/>
        </w:rPr>
      </w:pPr>
      <w:r w:rsidRPr="00062618">
        <w:rPr>
          <w:rFonts w:ascii="Tahoma" w:hAnsi="Tahoma" w:cs="Tahoma"/>
          <w:sz w:val="24"/>
          <w:szCs w:val="24"/>
        </w:rPr>
        <w:t xml:space="preserve">La necesidad mejorar la recaudación recae en una obligación </w:t>
      </w:r>
      <w:r w:rsidR="00284285" w:rsidRPr="00062618">
        <w:rPr>
          <w:rFonts w:ascii="Tahoma" w:hAnsi="Tahoma" w:cs="Tahoma"/>
          <w:sz w:val="24"/>
          <w:szCs w:val="24"/>
        </w:rPr>
        <w:t>compartida</w:t>
      </w:r>
      <w:r w:rsidRPr="00062618">
        <w:rPr>
          <w:rFonts w:ascii="Tahoma" w:hAnsi="Tahoma" w:cs="Tahoma"/>
          <w:sz w:val="24"/>
          <w:szCs w:val="24"/>
        </w:rPr>
        <w:t xml:space="preserve"> entre Gobierno y Población, donde para el Estado de Baja California, es importante considerar, los factores que determinan el éxito fiscal en materia de recaudación, sujetos a las características del estado tributario Mexicano y escenario económico, además de tener en cuenta la gran dependencia a que el Estado se encuentra sujeto por parte de la federación en términos de ingresos, ya que en el análisis histórico se pudo observar por este concepto se obtiene desde el año 2006 entre el 40 y 60%.</w:t>
      </w:r>
      <w:r w:rsidR="00965EE6">
        <w:rPr>
          <w:rFonts w:ascii="Tahoma" w:hAnsi="Tahoma" w:cs="Tahoma"/>
          <w:sz w:val="24"/>
          <w:szCs w:val="24"/>
        </w:rPr>
        <w:t xml:space="preserve"> Para el </w:t>
      </w:r>
      <w:r w:rsidR="00284285">
        <w:rPr>
          <w:rFonts w:ascii="Tahoma" w:hAnsi="Tahoma" w:cs="Tahoma"/>
          <w:sz w:val="24"/>
          <w:szCs w:val="24"/>
        </w:rPr>
        <w:t>ejercicio 2017 representa el 80</w:t>
      </w:r>
      <w:r w:rsidR="00965EE6">
        <w:rPr>
          <w:rFonts w:ascii="Tahoma" w:hAnsi="Tahoma" w:cs="Tahoma"/>
          <w:szCs w:val="24"/>
          <w:lang w:val="es-ES" w:eastAsia="es-MX"/>
        </w:rPr>
        <w:t>%.</w:t>
      </w:r>
    </w:p>
    <w:p w:rsidR="00B60713" w:rsidRDefault="00B60713" w:rsidP="00573B70">
      <w:pPr>
        <w:pStyle w:val="ListParagraph"/>
        <w:rPr>
          <w:rFonts w:ascii="Tahoma" w:hAnsi="Tahoma" w:cs="Tahoma"/>
          <w:szCs w:val="24"/>
          <w:lang w:val="es-ES" w:eastAsia="es-MX"/>
        </w:rPr>
        <w:sectPr w:rsidR="00B60713" w:rsidSect="00385418">
          <w:pgSz w:w="12240" w:h="15840"/>
          <w:pgMar w:top="1417" w:right="1701" w:bottom="1417" w:left="1701" w:header="708" w:footer="708" w:gutter="0"/>
          <w:cols w:space="708"/>
          <w:titlePg/>
          <w:docGrid w:linePitch="360"/>
        </w:sect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284285" w:rsidRDefault="00284285"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F309BF"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r>
        <w:rPr>
          <w:noProof/>
          <w:lang w:val="en-US" w:eastAsia="en-US"/>
        </w:rPr>
        <w:drawing>
          <wp:anchor distT="0" distB="0" distL="114300" distR="114300" simplePos="0" relativeHeight="251644415" behindDoc="0" locked="0" layoutInCell="1" allowOverlap="1" wp14:anchorId="52080E07" wp14:editId="1A0EFC4F">
            <wp:simplePos x="0" y="0"/>
            <wp:positionH relativeFrom="column">
              <wp:posOffset>43815</wp:posOffset>
            </wp:positionH>
            <wp:positionV relativeFrom="paragraph">
              <wp:posOffset>-222885</wp:posOffset>
            </wp:positionV>
            <wp:extent cx="5048250" cy="2714625"/>
            <wp:effectExtent l="76200" t="95250" r="76200" b="85725"/>
            <wp:wrapNone/>
            <wp:docPr id="70" name="Imagen 70" descr="Resultado de imagen para oficinas recaudacion de rentas baja californ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ficinas recaudacion de rentas baja california 20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271462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r>
        <w:rPr>
          <w:noProof/>
          <w:color w:val="EEECE1" w:themeColor="background2"/>
          <w:lang w:val="en-US" w:eastAsia="en-US"/>
        </w:rPr>
        <mc:AlternateContent>
          <mc:Choice Requires="wps">
            <w:drawing>
              <wp:anchor distT="0" distB="0" distL="114300" distR="114300" simplePos="0" relativeHeight="251663872" behindDoc="0" locked="0" layoutInCell="1" allowOverlap="1" wp14:anchorId="4BF22D67" wp14:editId="24C4A5EE">
                <wp:simplePos x="0" y="0"/>
                <wp:positionH relativeFrom="column">
                  <wp:posOffset>1330960</wp:posOffset>
                </wp:positionH>
                <wp:positionV relativeFrom="paragraph">
                  <wp:posOffset>-3175</wp:posOffset>
                </wp:positionV>
                <wp:extent cx="4678045" cy="2458085"/>
                <wp:effectExtent l="0" t="0" r="27305" b="18415"/>
                <wp:wrapNone/>
                <wp:docPr id="11" name="11 Rectángulo redondeado"/>
                <wp:cNvGraphicFramePr/>
                <a:graphic xmlns:a="http://schemas.openxmlformats.org/drawingml/2006/main">
                  <a:graphicData uri="http://schemas.microsoft.com/office/word/2010/wordprocessingShape">
                    <wps:wsp>
                      <wps:cNvSpPr/>
                      <wps:spPr>
                        <a:xfrm>
                          <a:off x="0" y="0"/>
                          <a:ext cx="4678045" cy="2458085"/>
                        </a:xfrm>
                        <a:prstGeom prst="roundRect">
                          <a:avLst/>
                        </a:prstGeom>
                        <a:solidFill>
                          <a:srgbClr val="1E1E14"/>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E860AF">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E860AF">
                            <w:pPr>
                              <w:jc w:val="right"/>
                              <w:rPr>
                                <w:color w:val="FFFFFF" w:themeColor="background1"/>
                                <w:sz w:val="48"/>
                              </w:rPr>
                            </w:pPr>
                            <w:r w:rsidRPr="00E860AF">
                              <w:rPr>
                                <w:color w:val="FFFFFF" w:themeColor="background1"/>
                                <w:sz w:val="48"/>
                              </w:rPr>
                              <w:t>6.</w:t>
                            </w:r>
                            <w:r w:rsidRPr="00E860AF">
                              <w:rPr>
                                <w:color w:val="FFFFFF" w:themeColor="background1"/>
                                <w:sz w:val="48"/>
                              </w:rPr>
                              <w:tab/>
                              <w:t>Fuentes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F22D67" id="11 Rectángulo redondeado" o:spid="_x0000_s1040" style="position:absolute;left:0;text-align:left;margin-left:104.8pt;margin-top:-.25pt;width:368.35pt;height:19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p2pwIAAJUFAAAOAAAAZHJzL2Uyb0RvYy54bWysVM1u2zAMvg/YOwi6r7YDp82COkXQrsOA&#10;oi3aDj0rshQbkEVNUmJnb7Nn2YuVkn8adMUOwxJAJkXy449Inl90jSJ7YV0NuqDZSUqJ0BzKWm8L&#10;+v3p+tOCEueZLpkCLQp6EI5erD5+OG/NUsygAlUKSxBEu2VrClp5b5ZJ4nglGuZOwAiNQgm2YR5Z&#10;u01Ky1pEb1QyS9PTpAVbGgtcOIe3V72QriK+lIL7Oymd8EQVFGPz8bTx3IQzWZ2z5dYyU9V8CIP9&#10;QxQNqzU6naCumGdkZ+s/oJqaW3Ag/QmHJgEpay5iDphNlr7J5rFiRsRcsDjOTGVy/w+W3+7vLalL&#10;fLuMEs0afKMsIw9YuN+/9HangFhRgi4FKyFUqzVuiUaP5t4OnEMypN5J24QvJkW6WOHDVGHRecLx&#10;Mj89W6T5nBKOslk+X6SLeUBNXs2Ndf6rgIYEoqAWdroM4cTysv2N873+qBdcOlB1eV0rFRm73Vwq&#10;S/YM3zz7gv98cHGkloQ8+sgj5Q9KBGOlH4TEemCss+gxdqKY8BjnQvusF1WsFL2beYq/0Uvo3WAR&#10;04qAAVlieBP2ADBq9iAjdp/foB9MRWzkyTj9W2C98WQRPYP2k3FTa7DvASjMavDc62P4R6UJpO82&#10;Xd8rsaLhagPlARvIQj9ZzvDrGt/thjl/zyyOEg4drgd/h4dU0BYUBoqSCuzP9+6DPnY4SilpcTQL&#10;6n7smBWUqG8ae/9zludhliOTz89myNhjyeZYonfNJYROwEVkeCSDvlcjKS00z7hF1sEripjm6Lug&#10;3NuRufT9ysA9xMV6HdVwfg3zN/rR8AAeCh1a8ql7ZtYMzeux729hHGO2fNO+vW6w1LDeeZB17O3X&#10;ug5PgLMfe2nYU2G5HPNR63Wbrl4AAAD//wMAUEsDBBQABgAIAAAAIQBTux3k3wAAAAkBAAAPAAAA&#10;ZHJzL2Rvd25yZXYueG1sTI8xT8MwFIR3JP6D9ZDYWoeEWk0ap4JKLEgMhIrZjR9J2vg52G4a/j1m&#10;KuPpTnffldvZDGxC53tLEh6WCTCkxuqeWgn7j5fFGpgPirQaLKGEH/SwrW5vSlVoe6F3nOrQslhC&#10;vlASuhDGgnPfdGiUX9oRKXpf1hkVonQt105dYrkZeJokghvVU1zo1Ii7DptTfTYShKrfjm7Kdzz9&#10;3A+Zm75Pz6tXKe/v5qcNsIBzuIbhDz+iQxWZDvZM2rNBQprkIkYlLFbAop8/igzYQUK2FgJ4VfL/&#10;D6pfAAAA//8DAFBLAQItABQABgAIAAAAIQC2gziS/gAAAOEBAAATAAAAAAAAAAAAAAAAAAAAAABb&#10;Q29udGVudF9UeXBlc10ueG1sUEsBAi0AFAAGAAgAAAAhADj9If/WAAAAlAEAAAsAAAAAAAAAAAAA&#10;AAAALwEAAF9yZWxzLy5yZWxzUEsBAi0AFAAGAAgAAAAhAJQtinanAgAAlQUAAA4AAAAAAAAAAAAA&#10;AAAALgIAAGRycy9lMm9Eb2MueG1sUEsBAi0AFAAGAAgAAAAhAFO7HeTfAAAACQEAAA8AAAAAAAAA&#10;AAAAAAAAAQUAAGRycy9kb3ducmV2LnhtbFBLBQYAAAAABAAEAPMAAAANBgAAAAA=&#10;" fillcolor="#1e1e14" strokecolor="#243f60 [1604]" strokeweight="2pt">
                <v:textbox>
                  <w:txbxContent>
                    <w:p w:rsidR="00E0113E" w:rsidRDefault="00E0113E" w:rsidP="00E860AF">
                      <w:pPr>
                        <w:jc w:val="right"/>
                        <w:rPr>
                          <w:color w:val="FFFFFF" w:themeColor="background1"/>
                          <w:sz w:val="48"/>
                        </w:rPr>
                      </w:pPr>
                      <w:r w:rsidRPr="00DD3B6B">
                        <w:rPr>
                          <w:color w:val="FFFFFF" w:themeColor="background1"/>
                          <w:sz w:val="48"/>
                        </w:rPr>
                        <w:t>PARTICIPACIONES FEDERALES A ENTIDADES FEDERATIVAS</w:t>
                      </w:r>
                    </w:p>
                    <w:p w:rsidR="00E0113E" w:rsidRPr="00DD3B6B" w:rsidRDefault="00E0113E" w:rsidP="00E860AF">
                      <w:pPr>
                        <w:jc w:val="right"/>
                        <w:rPr>
                          <w:color w:val="FFFFFF" w:themeColor="background1"/>
                          <w:sz w:val="48"/>
                        </w:rPr>
                      </w:pPr>
                      <w:r w:rsidRPr="00E860AF">
                        <w:rPr>
                          <w:color w:val="FFFFFF" w:themeColor="background1"/>
                          <w:sz w:val="48"/>
                        </w:rPr>
                        <w:t>6.</w:t>
                      </w:r>
                      <w:r w:rsidRPr="00E860AF">
                        <w:rPr>
                          <w:color w:val="FFFFFF" w:themeColor="background1"/>
                          <w:sz w:val="48"/>
                        </w:rPr>
                        <w:tab/>
                        <w:t>Fuentes de información</w:t>
                      </w:r>
                    </w:p>
                  </w:txbxContent>
                </v:textbox>
              </v:roundrect>
            </w:pict>
          </mc:Fallback>
        </mc:AlternateContent>
      </w: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E860AF" w:rsidRDefault="00E860AF"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965EE6" w:rsidRDefault="00E0113E" w:rsidP="00E0113E">
      <w:pPr>
        <w:pStyle w:val="m3670560185983626822msolistparagraph"/>
        <w:shd w:val="clear" w:color="auto" w:fill="FFFFFF"/>
        <w:tabs>
          <w:tab w:val="left" w:pos="4230"/>
        </w:tabs>
        <w:spacing w:before="0" w:beforeAutospacing="0" w:after="0" w:afterAutospacing="0"/>
        <w:ind w:left="2268"/>
        <w:jc w:val="both"/>
        <w:rPr>
          <w:rFonts w:ascii="Tahoma" w:hAnsi="Tahoma" w:cs="Tahoma"/>
          <w:color w:val="222222"/>
          <w:sz w:val="20"/>
          <w:szCs w:val="20"/>
        </w:rPr>
      </w:pPr>
      <w:r>
        <w:rPr>
          <w:rFonts w:ascii="Tahoma" w:hAnsi="Tahoma" w:cs="Tahoma"/>
          <w:color w:val="222222"/>
          <w:sz w:val="20"/>
          <w:szCs w:val="20"/>
        </w:rPr>
        <w:tab/>
      </w:r>
    </w:p>
    <w:p w:rsidR="00965EE6" w:rsidRDefault="00965EE6"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p>
    <w:p w:rsidR="00F309BF" w:rsidRDefault="00E0113E" w:rsidP="00573B70">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r>
        <w:rPr>
          <w:rFonts w:ascii="Tahoma" w:hAnsi="Tahoma" w:cs="Tahoma"/>
          <w:noProof/>
          <w:color w:val="222222"/>
          <w:sz w:val="20"/>
          <w:szCs w:val="20"/>
          <w:lang w:val="en-US" w:eastAsia="en-US"/>
        </w:rPr>
        <mc:AlternateContent>
          <mc:Choice Requires="wps">
            <w:drawing>
              <wp:anchor distT="0" distB="0" distL="114300" distR="114300" simplePos="0" relativeHeight="251724288" behindDoc="0" locked="0" layoutInCell="1" allowOverlap="1">
                <wp:simplePos x="0" y="0"/>
                <wp:positionH relativeFrom="column">
                  <wp:posOffset>5377815</wp:posOffset>
                </wp:positionH>
                <wp:positionV relativeFrom="paragraph">
                  <wp:posOffset>558800</wp:posOffset>
                </wp:positionV>
                <wp:extent cx="342900" cy="24765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noFill/>
                        </a:ln>
                      </wps:spPr>
                      <wps:txbx>
                        <w:txbxContent>
                          <w:p w:rsidR="00E0113E" w:rsidRPr="00E0113E" w:rsidRDefault="00E0113E">
                            <w:pPr>
                              <w:rPr>
                                <w:color w:val="A6A6A6" w:themeColor="background1" w:themeShade="A6"/>
                              </w:rPr>
                            </w:pPr>
                            <w:r w:rsidRPr="00E0113E">
                              <w:rPr>
                                <w:color w:val="A6A6A6" w:themeColor="background1" w:themeShade="A6"/>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44" o:spid="_x0000_s1041" type="#_x0000_t202" style="position:absolute;left:0;text-align:left;margin-left:423.45pt;margin-top:44pt;width:27pt;height: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OjSgIAAIkEAAAOAAAAZHJzL2Uyb0RvYy54bWysVN9v2jAQfp+0/8Hy+xqgga6ooWJUnSah&#10;thKd+mwcp0RyfJ5tSNhfv88OUNbtadqLc+c734/vu8vNbddotlPO12QKPrwYcKaMpLI2rwX//nz/&#10;6TNnPghTCk1GFXyvPL+dffxw09qpGtGGdKkcQxDjp60t+CYEO80yLzeqEf6CrDIwVuQaEaC616x0&#10;okX0RmejwWCSteRK60gq73F71xv5LMWvKiXDY1V5FZguOGoL6XTpXMczm92I6asTdlPLQxniH6po&#10;RG2Q9BTqTgTBtq7+I1RTS0eeqnAhqcmoqmqpUg/oZjh4181qI6xKvQAcb08w+f8XVj7snhyry4Ln&#10;OWdGNOBosRWlI1YqFlQXiMECmFrrp/BeWfiH7gt1oPt473EZu+8q18Qv+mKwA/D9CWSEYhKXl/no&#10;egCLhGmUX03GiYTs7bF1PnxV1LAoFNyBwwSt2C19QCFwPbrEXJ50Xd7XWiclzo1aaMd2AozrkErE&#10;i9+8tGFtwSeXSB0fGYrP+8jaIEFstW8pSqFbdwmh4fjY75rKPWBw1M+Tt/K+RrFL4cOTcBgg9Iel&#10;CI84Kk1IRgeJsw25n3+7j/7gFVbOWgxkwf2PrXCKM/3NgPHrYZ7HCU5KPr4aQXHnlvW5xWybBQGB&#10;IdbPyiRG/6CPYuWoecHuzGNWmISRyF3wcBQXoV8T7J5U83lywsxaEZZmZWUMHcGLVDx3L8LZA19x&#10;Zh7oOLpi+o623reHfb4NVNWJ0wh0j+oBf8x7ovqwm3GhzvXk9fYHmf0CAAD//wMAUEsDBBQABgAI&#10;AAAAIQAxTSxA4QAAAAoBAAAPAAAAZHJzL2Rvd25yZXYueG1sTI/NTsMwEITvSLyDtUhcELVpoU1D&#10;nAohfiRuNC2ImxsvSUS8jmI3CW/PcoLb7s6n2ZlsM7lWDNiHxpOGq5kCgVR621ClYVc8XiYgQjRk&#10;TesJNXxjgE1+epKZ1PqRXnHYxkqwCYXUaKhj7FIpQ1mjM2HmOyTWPn3vTOS1r6TtzcjmrpVzpZbS&#10;mYb4Q206vK+x/NoenYaPi+r9JUxP+3Fxs+genodi9WYLrc/PprtbEBGn+AfDb3yODjlnOvgj2SBa&#10;Dcn1cs0oDwl3YmCtFB8OTM5XCmSeyf8V8h8AAAD//wMAUEsBAi0AFAAGAAgAAAAhALaDOJL+AAAA&#10;4QEAABMAAAAAAAAAAAAAAAAAAAAAAFtDb250ZW50X1R5cGVzXS54bWxQSwECLQAUAAYACAAAACEA&#10;OP0h/9YAAACUAQAACwAAAAAAAAAAAAAAAAAvAQAAX3JlbHMvLnJlbHNQSwECLQAUAAYACAAAACEA&#10;NaZTo0oCAACJBAAADgAAAAAAAAAAAAAAAAAuAgAAZHJzL2Uyb0RvYy54bWxQSwECLQAUAAYACAAA&#10;ACEAMU0sQOEAAAAKAQAADwAAAAAAAAAAAAAAAACkBAAAZHJzL2Rvd25yZXYueG1sUEsFBgAAAAAE&#10;AAQA8wAAALIFAAAAAA==&#10;" fillcolor="white [3201]" stroked="f" strokeweight=".5pt">
                <v:textbox>
                  <w:txbxContent>
                    <w:p w:rsidR="00E0113E" w:rsidRPr="00E0113E" w:rsidRDefault="00E0113E">
                      <w:pPr>
                        <w:rPr>
                          <w:color w:val="A6A6A6" w:themeColor="background1" w:themeShade="A6"/>
                        </w:rPr>
                      </w:pPr>
                      <w:r w:rsidRPr="00E0113E">
                        <w:rPr>
                          <w:color w:val="A6A6A6" w:themeColor="background1" w:themeShade="A6"/>
                        </w:rPr>
                        <w:t>55</w:t>
                      </w:r>
                    </w:p>
                  </w:txbxContent>
                </v:textbox>
              </v:shape>
            </w:pict>
          </mc:Fallback>
        </mc:AlternateContent>
      </w:r>
      <w:r w:rsidR="00F309BF">
        <w:rPr>
          <w:rFonts w:ascii="Tahoma" w:hAnsi="Tahoma" w:cs="Tahoma"/>
          <w:color w:val="222222"/>
          <w:sz w:val="20"/>
          <w:szCs w:val="20"/>
        </w:rPr>
        <w:br w:type="page"/>
      </w:r>
    </w:p>
    <w:p w:rsidR="00B7561A" w:rsidRPr="00B7561A" w:rsidRDefault="008D2738" w:rsidP="00B7561A">
      <w:pPr>
        <w:pStyle w:val="Heading1"/>
        <w:rPr>
          <w:rFonts w:ascii="Maiandra GD" w:hAnsi="Maiandra GD"/>
          <w:color w:val="943634" w:themeColor="accent2" w:themeShade="BF"/>
          <w:sz w:val="32"/>
          <w:szCs w:val="32"/>
          <w:lang w:val="es-ES" w:eastAsia="es-MX"/>
        </w:rPr>
      </w:pPr>
      <w:bookmarkStart w:id="24" w:name="_Toc520556953"/>
      <w:r w:rsidRPr="00B7561A">
        <w:rPr>
          <w:rFonts w:ascii="Maiandra GD" w:hAnsi="Maiandra GD"/>
          <w:color w:val="943634" w:themeColor="accent2" w:themeShade="BF"/>
          <w:sz w:val="32"/>
          <w:szCs w:val="32"/>
          <w:lang w:val="es-ES" w:eastAsia="es-MX"/>
        </w:rPr>
        <w:t>FUENTES DE INFORMACIÓN</w:t>
      </w:r>
      <w:bookmarkEnd w:id="24"/>
    </w:p>
    <w:p w:rsidR="00B7561A" w:rsidRDefault="00B7561A" w:rsidP="00573B70">
      <w:pPr>
        <w:autoSpaceDE w:val="0"/>
        <w:autoSpaceDN w:val="0"/>
        <w:adjustRightInd w:val="0"/>
        <w:contextualSpacing/>
        <w:jc w:val="both"/>
        <w:rPr>
          <w:rFonts w:ascii="Tahoma" w:eastAsia="Batang" w:hAnsi="Tahoma" w:cs="Tahoma"/>
          <w:snapToGrid w:val="0"/>
        </w:rPr>
      </w:pPr>
    </w:p>
    <w:p w:rsidR="00F44C08" w:rsidRPr="00F44C0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CEESCO (2017). Recursos Identificados en el Presupuesto de Egresos de la Federación. Centro de Estudios Económicos del Sector de la Construcción. Cámara Mexicana de la Industria de la Construcción.</w:t>
      </w:r>
    </w:p>
    <w:p w:rsidR="00F44C08" w:rsidRPr="00F44C0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CEFP (2017). Recursos Identificados para el Estado de Baja California en el Proyecto de Presupuesto de Egresos de la Federación. Centro de Estudios de las Finanzas Públicas. Cámara de Diputados LXIII.</w:t>
      </w:r>
    </w:p>
    <w:p w:rsidR="00252C0F" w:rsidRDefault="00252C0F"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252C0F">
        <w:rPr>
          <w:rFonts w:ascii="Tahoma" w:eastAsia="Batang" w:hAnsi="Tahoma" w:cs="Tahoma"/>
          <w:snapToGrid w:val="0"/>
          <w:sz w:val="24"/>
          <w:szCs w:val="24"/>
        </w:rPr>
        <w:t>COPLADE (2017) Actualización Plan Estatal de Desarrollo 2014-2019, Baja California.</w:t>
      </w:r>
      <w:r>
        <w:rPr>
          <w:rFonts w:ascii="Tahoma" w:eastAsia="Batang" w:hAnsi="Tahoma" w:cs="Tahoma"/>
          <w:snapToGrid w:val="0"/>
          <w:sz w:val="24"/>
          <w:szCs w:val="24"/>
        </w:rPr>
        <w:t xml:space="preserve"> Disponible en: </w:t>
      </w:r>
      <w:hyperlink r:id="rId50" w:history="1">
        <w:r w:rsidRPr="00C072F9">
          <w:rPr>
            <w:rStyle w:val="Hyperlink"/>
            <w:rFonts w:ascii="Tahoma" w:eastAsia="Batang" w:hAnsi="Tahoma" w:cs="Tahoma"/>
            <w:snapToGrid w:val="0"/>
            <w:sz w:val="24"/>
            <w:szCs w:val="24"/>
          </w:rPr>
          <w:t>http://www.copladebc.gob.mx/PED/documentos/Actualizacion%20del%20Plan%20Estatal%20de%20Desarrollo%202014-2019.pdf</w:t>
        </w:r>
      </w:hyperlink>
    </w:p>
    <w:p w:rsidR="00E860AF" w:rsidRPr="00F309BF" w:rsidRDefault="009A0E11"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309BF">
        <w:rPr>
          <w:rFonts w:ascii="Tahoma" w:eastAsia="Batang" w:hAnsi="Tahoma" w:cs="Tahoma"/>
          <w:snapToGrid w:val="0"/>
          <w:sz w:val="24"/>
          <w:szCs w:val="24"/>
        </w:rPr>
        <w:t>COPLADE BC (2017). Publicaciones Soci</w:t>
      </w:r>
      <w:r w:rsidR="00F309BF">
        <w:rPr>
          <w:rFonts w:ascii="Tahoma" w:eastAsia="Batang" w:hAnsi="Tahoma" w:cs="Tahoma"/>
          <w:snapToGrid w:val="0"/>
          <w:sz w:val="24"/>
          <w:szCs w:val="24"/>
        </w:rPr>
        <w:t>odemográficas.</w:t>
      </w:r>
      <w:r w:rsidRPr="00F309BF">
        <w:rPr>
          <w:rFonts w:ascii="Tahoma" w:eastAsia="Batang" w:hAnsi="Tahoma" w:cs="Tahoma"/>
          <w:snapToGrid w:val="0"/>
          <w:sz w:val="24"/>
          <w:szCs w:val="24"/>
        </w:rPr>
        <w:t xml:space="preserve"> Baja California. Ensenada 2016</w:t>
      </w:r>
      <w:r w:rsidR="00F309BF">
        <w:rPr>
          <w:rFonts w:ascii="Tahoma" w:eastAsia="Batang" w:hAnsi="Tahoma" w:cs="Tahoma"/>
          <w:snapToGrid w:val="0"/>
          <w:sz w:val="24"/>
          <w:szCs w:val="24"/>
        </w:rPr>
        <w:t xml:space="preserve">. </w:t>
      </w:r>
      <w:hyperlink r:id="rId51" w:history="1">
        <w:r w:rsidRPr="00F309BF">
          <w:rPr>
            <w:rStyle w:val="Hyperlink"/>
            <w:rFonts w:ascii="Tahoma" w:eastAsia="Batang" w:hAnsi="Tahoma" w:cs="Tahoma"/>
            <w:snapToGrid w:val="0"/>
            <w:sz w:val="24"/>
            <w:szCs w:val="24"/>
          </w:rPr>
          <w:t>http://www.copladebc.gob.mx/publicaciones/2017/Mensual/Ensenada%202017.pdf</w:t>
        </w:r>
      </w:hyperlink>
    </w:p>
    <w:p w:rsidR="009A0E11" w:rsidRPr="00C23B96" w:rsidRDefault="009A0E11"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lang w:val="en-US"/>
        </w:rPr>
      </w:pPr>
      <w:r w:rsidRPr="00F309BF">
        <w:rPr>
          <w:rFonts w:ascii="Tahoma" w:eastAsia="Batang" w:hAnsi="Tahoma" w:cs="Tahoma"/>
          <w:snapToGrid w:val="0"/>
          <w:sz w:val="24"/>
          <w:szCs w:val="24"/>
        </w:rPr>
        <w:t>COPLADE BC (2017). Publicaciones Soci</w:t>
      </w:r>
      <w:r w:rsidR="00F309BF">
        <w:rPr>
          <w:rFonts w:ascii="Tahoma" w:eastAsia="Batang" w:hAnsi="Tahoma" w:cs="Tahoma"/>
          <w:snapToGrid w:val="0"/>
          <w:sz w:val="24"/>
          <w:szCs w:val="24"/>
        </w:rPr>
        <w:t>odemográficas.</w:t>
      </w:r>
      <w:r w:rsidRPr="00F309BF">
        <w:rPr>
          <w:rFonts w:ascii="Tahoma" w:eastAsia="Batang" w:hAnsi="Tahoma" w:cs="Tahoma"/>
          <w:snapToGrid w:val="0"/>
          <w:sz w:val="24"/>
          <w:szCs w:val="24"/>
        </w:rPr>
        <w:t xml:space="preserve"> Baja California. Mexicali 2016</w:t>
      </w:r>
      <w:r w:rsidR="00F309BF">
        <w:rPr>
          <w:rFonts w:ascii="Tahoma" w:eastAsia="Batang" w:hAnsi="Tahoma" w:cs="Tahoma"/>
          <w:snapToGrid w:val="0"/>
          <w:sz w:val="24"/>
          <w:szCs w:val="24"/>
        </w:rPr>
        <w:t xml:space="preserve">. </w:t>
      </w:r>
      <w:hyperlink r:id="rId52" w:history="1">
        <w:r w:rsidRPr="00C23B96">
          <w:rPr>
            <w:rStyle w:val="Hyperlink"/>
            <w:rFonts w:ascii="Tahoma" w:eastAsia="Batang" w:hAnsi="Tahoma" w:cs="Tahoma"/>
            <w:snapToGrid w:val="0"/>
            <w:sz w:val="24"/>
            <w:szCs w:val="24"/>
            <w:lang w:val="en-US"/>
          </w:rPr>
          <w:t>http://www.copladebc.gob.mx/publicaciones/2017/Mensual/Mexicali%202017.pdf</w:t>
        </w:r>
      </w:hyperlink>
    </w:p>
    <w:p w:rsidR="009A0E11" w:rsidRPr="00F309BF" w:rsidRDefault="009A0E11"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lang w:val="en-US"/>
        </w:rPr>
      </w:pPr>
      <w:r w:rsidRPr="00C23B96">
        <w:rPr>
          <w:rFonts w:ascii="Tahoma" w:eastAsia="Batang" w:hAnsi="Tahoma" w:cs="Tahoma"/>
          <w:snapToGrid w:val="0"/>
          <w:sz w:val="24"/>
          <w:szCs w:val="24"/>
          <w:lang w:val="en-US"/>
        </w:rPr>
        <w:t xml:space="preserve">COPLADE BC (2017). </w:t>
      </w:r>
      <w:r w:rsidRPr="00F309BF">
        <w:rPr>
          <w:rFonts w:ascii="Tahoma" w:eastAsia="Batang" w:hAnsi="Tahoma" w:cs="Tahoma"/>
          <w:snapToGrid w:val="0"/>
          <w:sz w:val="24"/>
          <w:szCs w:val="24"/>
        </w:rPr>
        <w:t>Publicaciones Soci</w:t>
      </w:r>
      <w:r w:rsidR="00F309BF">
        <w:rPr>
          <w:rFonts w:ascii="Tahoma" w:eastAsia="Batang" w:hAnsi="Tahoma" w:cs="Tahoma"/>
          <w:snapToGrid w:val="0"/>
          <w:sz w:val="24"/>
          <w:szCs w:val="24"/>
        </w:rPr>
        <w:t>odemográficas.</w:t>
      </w:r>
      <w:r w:rsidRPr="00F309BF">
        <w:rPr>
          <w:rFonts w:ascii="Tahoma" w:eastAsia="Batang" w:hAnsi="Tahoma" w:cs="Tahoma"/>
          <w:snapToGrid w:val="0"/>
          <w:sz w:val="24"/>
          <w:szCs w:val="24"/>
        </w:rPr>
        <w:t xml:space="preserve"> Baja California. Tecate 2016</w:t>
      </w:r>
      <w:r w:rsidR="00F309BF">
        <w:rPr>
          <w:rFonts w:ascii="Tahoma" w:eastAsia="Batang" w:hAnsi="Tahoma" w:cs="Tahoma"/>
          <w:snapToGrid w:val="0"/>
          <w:sz w:val="24"/>
          <w:szCs w:val="24"/>
        </w:rPr>
        <w:t xml:space="preserve">. </w:t>
      </w:r>
      <w:hyperlink r:id="rId53" w:history="1">
        <w:r w:rsidRPr="00C23B96">
          <w:rPr>
            <w:rStyle w:val="Hyperlink"/>
            <w:rFonts w:ascii="Tahoma" w:eastAsia="Batang" w:hAnsi="Tahoma" w:cs="Tahoma"/>
            <w:snapToGrid w:val="0"/>
            <w:sz w:val="24"/>
            <w:szCs w:val="24"/>
            <w:lang w:val="en-US"/>
          </w:rPr>
          <w:t>http://www.copladebc.gob.m</w:t>
        </w:r>
        <w:r w:rsidRPr="00F309BF">
          <w:rPr>
            <w:rStyle w:val="Hyperlink"/>
            <w:rFonts w:ascii="Tahoma" w:eastAsia="Batang" w:hAnsi="Tahoma" w:cs="Tahoma"/>
            <w:snapToGrid w:val="0"/>
            <w:sz w:val="24"/>
            <w:szCs w:val="24"/>
            <w:lang w:val="en-US"/>
          </w:rPr>
          <w:t>x/publicaciones/2017/Mensual/Tecate%202017.pdf</w:t>
        </w:r>
      </w:hyperlink>
    </w:p>
    <w:p w:rsidR="009A0E11" w:rsidRPr="00F309BF" w:rsidRDefault="009A0E11"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lang w:val="en-US"/>
        </w:rPr>
      </w:pPr>
      <w:r w:rsidRPr="00F309BF">
        <w:rPr>
          <w:rFonts w:ascii="Tahoma" w:eastAsia="Batang" w:hAnsi="Tahoma" w:cs="Tahoma"/>
          <w:snapToGrid w:val="0"/>
          <w:sz w:val="24"/>
          <w:szCs w:val="24"/>
          <w:lang w:val="en-US"/>
        </w:rPr>
        <w:t xml:space="preserve">COPLADE BC (2017). </w:t>
      </w:r>
      <w:r w:rsidRPr="00F309BF">
        <w:rPr>
          <w:rFonts w:ascii="Tahoma" w:eastAsia="Batang" w:hAnsi="Tahoma" w:cs="Tahoma"/>
          <w:snapToGrid w:val="0"/>
          <w:sz w:val="24"/>
          <w:szCs w:val="24"/>
        </w:rPr>
        <w:t>Publicaciones Soci</w:t>
      </w:r>
      <w:r w:rsidR="00F309BF">
        <w:rPr>
          <w:rFonts w:ascii="Tahoma" w:eastAsia="Batang" w:hAnsi="Tahoma" w:cs="Tahoma"/>
          <w:snapToGrid w:val="0"/>
          <w:sz w:val="24"/>
          <w:szCs w:val="24"/>
        </w:rPr>
        <w:t>odemográficas.</w:t>
      </w:r>
      <w:r w:rsidRPr="00F309BF">
        <w:rPr>
          <w:rFonts w:ascii="Tahoma" w:eastAsia="Batang" w:hAnsi="Tahoma" w:cs="Tahoma"/>
          <w:snapToGrid w:val="0"/>
          <w:sz w:val="24"/>
          <w:szCs w:val="24"/>
        </w:rPr>
        <w:t xml:space="preserve"> Baja California. Tijuana 2016</w:t>
      </w:r>
      <w:r w:rsidR="00F309BF">
        <w:rPr>
          <w:rFonts w:ascii="Tahoma" w:eastAsia="Batang" w:hAnsi="Tahoma" w:cs="Tahoma"/>
          <w:snapToGrid w:val="0"/>
          <w:sz w:val="24"/>
          <w:szCs w:val="24"/>
        </w:rPr>
        <w:t xml:space="preserve">. </w:t>
      </w:r>
      <w:hyperlink r:id="rId54" w:history="1">
        <w:r w:rsidR="00F309BF" w:rsidRPr="00C23B96">
          <w:rPr>
            <w:rStyle w:val="Hyperlink"/>
            <w:rFonts w:ascii="Tahoma" w:eastAsia="Batang" w:hAnsi="Tahoma" w:cs="Tahoma"/>
            <w:snapToGrid w:val="0"/>
            <w:sz w:val="24"/>
            <w:szCs w:val="24"/>
            <w:lang w:val="en-US"/>
          </w:rPr>
          <w:t>http://www.copladebc.gob.</w:t>
        </w:r>
        <w:r w:rsidR="00F309BF" w:rsidRPr="00F309BF">
          <w:rPr>
            <w:rStyle w:val="Hyperlink"/>
            <w:rFonts w:ascii="Tahoma" w:eastAsia="Batang" w:hAnsi="Tahoma" w:cs="Tahoma"/>
            <w:snapToGrid w:val="0"/>
            <w:sz w:val="24"/>
            <w:szCs w:val="24"/>
            <w:lang w:val="en-US"/>
          </w:rPr>
          <w:t>mx/publicaciones/2017/Mensual/Tijuana%202017.pdf</w:t>
        </w:r>
      </w:hyperlink>
    </w:p>
    <w:p w:rsidR="00E860AF" w:rsidRPr="00F309BF" w:rsidRDefault="009A0E11"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309BF">
        <w:rPr>
          <w:rFonts w:ascii="Tahoma" w:eastAsia="Batang" w:hAnsi="Tahoma" w:cs="Tahoma"/>
          <w:snapToGrid w:val="0"/>
          <w:sz w:val="24"/>
          <w:szCs w:val="24"/>
          <w:lang w:val="en-US"/>
        </w:rPr>
        <w:t xml:space="preserve">COPLADE BC (2017). </w:t>
      </w:r>
      <w:r w:rsidRPr="00F309BF">
        <w:rPr>
          <w:rFonts w:ascii="Tahoma" w:eastAsia="Batang" w:hAnsi="Tahoma" w:cs="Tahoma"/>
          <w:snapToGrid w:val="0"/>
          <w:sz w:val="24"/>
          <w:szCs w:val="24"/>
        </w:rPr>
        <w:t>Publicaciones Soci</w:t>
      </w:r>
      <w:r w:rsidR="00F309BF">
        <w:rPr>
          <w:rFonts w:ascii="Tahoma" w:eastAsia="Batang" w:hAnsi="Tahoma" w:cs="Tahoma"/>
          <w:snapToGrid w:val="0"/>
          <w:sz w:val="24"/>
          <w:szCs w:val="24"/>
        </w:rPr>
        <w:t>odemográficas.</w:t>
      </w:r>
      <w:r w:rsidRPr="00F309BF">
        <w:rPr>
          <w:rFonts w:ascii="Tahoma" w:eastAsia="Batang" w:hAnsi="Tahoma" w:cs="Tahoma"/>
          <w:snapToGrid w:val="0"/>
          <w:sz w:val="24"/>
          <w:szCs w:val="24"/>
        </w:rPr>
        <w:t xml:space="preserve"> Baja California. Playas de Rosarito 2016</w:t>
      </w:r>
      <w:r w:rsidR="00F309BF">
        <w:rPr>
          <w:rFonts w:ascii="Tahoma" w:eastAsia="Batang" w:hAnsi="Tahoma" w:cs="Tahoma"/>
          <w:snapToGrid w:val="0"/>
          <w:sz w:val="24"/>
          <w:szCs w:val="24"/>
        </w:rPr>
        <w:t xml:space="preserve">. </w:t>
      </w:r>
      <w:hyperlink r:id="rId55" w:history="1">
        <w:r w:rsidRPr="00F309BF">
          <w:rPr>
            <w:rStyle w:val="Hyperlink"/>
            <w:rFonts w:ascii="Tahoma" w:eastAsia="Batang" w:hAnsi="Tahoma" w:cs="Tahoma"/>
            <w:snapToGrid w:val="0"/>
            <w:sz w:val="24"/>
            <w:szCs w:val="24"/>
          </w:rPr>
          <w:t>http://www.copladebc.gob.mx/publicaciones/2017/Mensual/Playas%20de%20Rosarito.pdf</w:t>
        </w:r>
      </w:hyperlink>
    </w:p>
    <w:p w:rsidR="008D273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 xml:space="preserve">Gobierno de la República (2017). Presupuesto de Egresos de la Federación. Avance al IV Trimestre 2017. Tomo III. Ramos Administrativos. Recuperado el 22 de mayo de 2018, </w:t>
      </w:r>
      <w:hyperlink r:id="rId56" w:history="1">
        <w:r w:rsidR="008D2738" w:rsidRPr="0022272E">
          <w:rPr>
            <w:rStyle w:val="Hyperlink"/>
            <w:rFonts w:ascii="Tahoma" w:eastAsia="Batang" w:hAnsi="Tahoma" w:cs="Tahoma"/>
            <w:snapToGrid w:val="0"/>
            <w:sz w:val="24"/>
            <w:szCs w:val="24"/>
          </w:rPr>
          <w:t>http://www.pef.hacienda.gob.mx/es/PEF2017/tomoIII</w:t>
        </w:r>
      </w:hyperlink>
    </w:p>
    <w:p w:rsidR="00F44C0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 xml:space="preserve">Gobierno del Estado de Baja California (2017). Actualización del Plan Estatal de Desarrollo 2014-2019. Disponible en: </w:t>
      </w:r>
      <w:hyperlink r:id="rId57" w:history="1">
        <w:r w:rsidR="008D2738" w:rsidRPr="0022272E">
          <w:rPr>
            <w:rStyle w:val="Hyperlink"/>
            <w:rFonts w:ascii="Tahoma" w:eastAsia="Batang" w:hAnsi="Tahoma" w:cs="Tahoma"/>
            <w:snapToGrid w:val="0"/>
            <w:sz w:val="24"/>
            <w:szCs w:val="24"/>
          </w:rPr>
          <w:t>http://www.copladebc.gob.mx/PED/documentos/Actualizacion%20del%20Plan%20Estatal%20de%20Desarrollo%202014-2019.pdf</w:t>
        </w:r>
      </w:hyperlink>
    </w:p>
    <w:p w:rsidR="00F44C08" w:rsidRPr="00F44C0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 xml:space="preserve">Monitor BC. (2018) Lineamientos Generales de la Estrategia para el Seguimiento de las Recomendaciones Derivadas de Evaluaciones Externas “BCMejora”. </w:t>
      </w:r>
    </w:p>
    <w:p w:rsidR="00F44C08" w:rsidRDefault="00037426" w:rsidP="008D2738">
      <w:pPr>
        <w:autoSpaceDE w:val="0"/>
        <w:autoSpaceDN w:val="0"/>
        <w:adjustRightInd w:val="0"/>
        <w:spacing w:after="480" w:line="480" w:lineRule="auto"/>
        <w:ind w:left="1134"/>
        <w:contextualSpacing/>
        <w:jc w:val="both"/>
        <w:rPr>
          <w:rFonts w:ascii="Tahoma" w:eastAsia="Batang" w:hAnsi="Tahoma" w:cs="Tahoma"/>
          <w:snapToGrid w:val="0"/>
          <w:sz w:val="24"/>
          <w:szCs w:val="24"/>
        </w:rPr>
      </w:pPr>
      <w:hyperlink r:id="rId58" w:history="1">
        <w:r w:rsidR="008D2738" w:rsidRPr="0022272E">
          <w:rPr>
            <w:rStyle w:val="Hyperlink"/>
            <w:rFonts w:ascii="Tahoma" w:eastAsia="Batang" w:hAnsi="Tahoma" w:cs="Tahoma"/>
            <w:snapToGrid w:val="0"/>
            <w:sz w:val="24"/>
            <w:szCs w:val="24"/>
          </w:rPr>
          <w:t>http://indicadores.bajacalifornia.gob.mx/menuResultado_evaluaciones.jsp</w:t>
        </w:r>
      </w:hyperlink>
    </w:p>
    <w:p w:rsidR="00F44C0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SEDIA (2017). Presupuesto público federal identificado para el Estado de Baja California, 2017. Cámara de Diputados. Dirección General de Servicios de Documentación, Información y Análisis. Subdirección de análisis económico. SAE-ISS-06-17.</w:t>
      </w:r>
    </w:p>
    <w:p w:rsidR="008133F1" w:rsidRDefault="008133F1" w:rsidP="008133F1">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Pr>
          <w:rFonts w:ascii="Tahoma" w:eastAsia="Batang" w:hAnsi="Tahoma" w:cs="Tahoma"/>
          <w:snapToGrid w:val="0"/>
          <w:sz w:val="24"/>
          <w:szCs w:val="24"/>
        </w:rPr>
        <w:t xml:space="preserve">SEGOB (2016) </w:t>
      </w:r>
      <w:r w:rsidRPr="008133F1">
        <w:rPr>
          <w:rFonts w:ascii="Tahoma" w:eastAsia="Batang" w:hAnsi="Tahoma" w:cs="Tahoma"/>
          <w:snapToGrid w:val="0"/>
          <w:sz w:val="24"/>
          <w:szCs w:val="24"/>
        </w:rPr>
        <w:t>ACUERDO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w:t>
      </w:r>
      <w:r>
        <w:rPr>
          <w:rFonts w:ascii="Tahoma" w:eastAsia="Batang" w:hAnsi="Tahoma" w:cs="Tahoma"/>
          <w:snapToGrid w:val="0"/>
          <w:sz w:val="24"/>
          <w:szCs w:val="24"/>
        </w:rPr>
        <w:t xml:space="preserve"> Disponible en: </w:t>
      </w:r>
      <w:hyperlink r:id="rId59" w:history="1">
        <w:r w:rsidRPr="00C072F9">
          <w:rPr>
            <w:rStyle w:val="Hyperlink"/>
            <w:rFonts w:ascii="Tahoma" w:eastAsia="Batang" w:hAnsi="Tahoma" w:cs="Tahoma"/>
            <w:snapToGrid w:val="0"/>
            <w:sz w:val="24"/>
            <w:szCs w:val="24"/>
          </w:rPr>
          <w:t>http://www.dof.gob.mx/nota_detalle.php?codigo=5466319&amp;fecha=21/12/2016</w:t>
        </w:r>
      </w:hyperlink>
    </w:p>
    <w:p w:rsidR="00F44C0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 xml:space="preserve">SPF (2017) Presupuesto de Egresos. Versión Ciudadana. Disponible en: </w:t>
      </w:r>
      <w:hyperlink r:id="rId60" w:history="1">
        <w:r w:rsidR="008D2738" w:rsidRPr="0022272E">
          <w:rPr>
            <w:rStyle w:val="Hyperlink"/>
            <w:rFonts w:ascii="Tahoma" w:eastAsia="Batang" w:hAnsi="Tahoma" w:cs="Tahoma"/>
            <w:snapToGrid w:val="0"/>
            <w:sz w:val="24"/>
            <w:szCs w:val="24"/>
          </w:rPr>
          <w:t>http://indicadores.bajacalifornia.gob.mx/consultaciudadana/download/Presupuesto%20de%20egresos%20Version%20Ciudadana%202017.pdf</w:t>
        </w:r>
      </w:hyperlink>
    </w:p>
    <w:p w:rsidR="00F44C08" w:rsidRPr="00F44C0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 xml:space="preserve">SPF (2018) Programa Operativo Anual, Cierre del ejercicio 2017. Ramo </w:t>
      </w:r>
      <w:r>
        <w:rPr>
          <w:rFonts w:ascii="Tahoma" w:eastAsia="Batang" w:hAnsi="Tahoma" w:cs="Tahoma"/>
          <w:snapToGrid w:val="0"/>
          <w:sz w:val="24"/>
          <w:szCs w:val="24"/>
        </w:rPr>
        <w:t>07</w:t>
      </w:r>
      <w:r w:rsidRPr="00F44C08">
        <w:rPr>
          <w:rFonts w:ascii="Tahoma" w:eastAsia="Batang" w:hAnsi="Tahoma" w:cs="Tahoma"/>
          <w:snapToGrid w:val="0"/>
          <w:sz w:val="24"/>
          <w:szCs w:val="24"/>
        </w:rPr>
        <w:t xml:space="preserve">. </w:t>
      </w:r>
      <w:r w:rsidR="00457090">
        <w:rPr>
          <w:rFonts w:ascii="Tahoma" w:eastAsia="Batang" w:hAnsi="Tahoma" w:cs="Tahoma"/>
          <w:snapToGrid w:val="0"/>
          <w:sz w:val="24"/>
          <w:szCs w:val="24"/>
        </w:rPr>
        <w:t>Secretaría de Planeación y Finanzas</w:t>
      </w:r>
    </w:p>
    <w:p w:rsidR="00F44C08" w:rsidRPr="00F44C0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 xml:space="preserve">Transparencia Presupuestaria. (2018). Informes sobre la Situación Económica, las Finanzas Públicas y la Deuda Pública. Baja California Cuarto Trimestre 2017. Disponible en: </w:t>
      </w:r>
    </w:p>
    <w:p w:rsidR="00F44C08" w:rsidRDefault="00037426" w:rsidP="008D2738">
      <w:pPr>
        <w:autoSpaceDE w:val="0"/>
        <w:autoSpaceDN w:val="0"/>
        <w:adjustRightInd w:val="0"/>
        <w:spacing w:after="480" w:line="480" w:lineRule="auto"/>
        <w:ind w:left="1134"/>
        <w:contextualSpacing/>
        <w:jc w:val="both"/>
        <w:rPr>
          <w:rFonts w:ascii="Tahoma" w:eastAsia="Batang" w:hAnsi="Tahoma" w:cs="Tahoma"/>
          <w:snapToGrid w:val="0"/>
          <w:sz w:val="24"/>
          <w:szCs w:val="24"/>
        </w:rPr>
      </w:pPr>
      <w:hyperlink r:id="rId61" w:history="1">
        <w:r w:rsidR="008D2738" w:rsidRPr="0022272E">
          <w:rPr>
            <w:rStyle w:val="Hyperlink"/>
            <w:rFonts w:ascii="Tahoma" w:eastAsia="Batang" w:hAnsi="Tahoma" w:cs="Tahoma"/>
            <w:snapToGrid w:val="0"/>
            <w:sz w:val="24"/>
            <w:szCs w:val="24"/>
          </w:rPr>
          <w:t>http://transparenciapresupuestaria.gob.mx/es/PTP/Datos_Abiertos</w:t>
        </w:r>
      </w:hyperlink>
    </w:p>
    <w:p w:rsidR="00F44C08" w:rsidRPr="00F44C08" w:rsidRDefault="00F44C08" w:rsidP="008D2738">
      <w:pPr>
        <w:autoSpaceDE w:val="0"/>
        <w:autoSpaceDN w:val="0"/>
        <w:adjustRightInd w:val="0"/>
        <w:spacing w:after="480" w:line="480" w:lineRule="auto"/>
        <w:ind w:left="1134" w:hanging="1134"/>
        <w:contextualSpacing/>
        <w:jc w:val="both"/>
        <w:rPr>
          <w:rFonts w:ascii="Tahoma" w:eastAsia="Batang" w:hAnsi="Tahoma" w:cs="Tahoma"/>
          <w:snapToGrid w:val="0"/>
          <w:sz w:val="24"/>
          <w:szCs w:val="24"/>
        </w:rPr>
      </w:pPr>
      <w:r w:rsidRPr="00F44C08">
        <w:rPr>
          <w:rFonts w:ascii="Tahoma" w:eastAsia="Batang" w:hAnsi="Tahoma" w:cs="Tahoma"/>
          <w:snapToGrid w:val="0"/>
          <w:sz w:val="24"/>
          <w:szCs w:val="24"/>
        </w:rPr>
        <w:t xml:space="preserve">Transparencia Presupuestaria. (2018). Informes sobre la Situación Económica, las Finanzas Públicas y la Deuda Pública. Gasto Federalizado (Avance Financiero) 2017. Disponible en: </w:t>
      </w:r>
    </w:p>
    <w:p w:rsidR="00F44C08" w:rsidRDefault="00037426" w:rsidP="008D2738">
      <w:pPr>
        <w:autoSpaceDE w:val="0"/>
        <w:autoSpaceDN w:val="0"/>
        <w:adjustRightInd w:val="0"/>
        <w:spacing w:after="480" w:line="480" w:lineRule="auto"/>
        <w:ind w:left="1134"/>
        <w:contextualSpacing/>
        <w:jc w:val="both"/>
        <w:rPr>
          <w:rFonts w:ascii="Tahoma" w:eastAsia="Batang" w:hAnsi="Tahoma" w:cs="Tahoma"/>
          <w:snapToGrid w:val="0"/>
          <w:sz w:val="24"/>
          <w:szCs w:val="24"/>
        </w:rPr>
      </w:pPr>
      <w:hyperlink r:id="rId62" w:history="1">
        <w:r w:rsidR="008D2738" w:rsidRPr="0022272E">
          <w:rPr>
            <w:rStyle w:val="Hyperlink"/>
            <w:rFonts w:ascii="Tahoma" w:eastAsia="Batang" w:hAnsi="Tahoma" w:cs="Tahoma"/>
            <w:snapToGrid w:val="0"/>
            <w:sz w:val="24"/>
            <w:szCs w:val="24"/>
          </w:rPr>
          <w:t>http://transparenciapresupuestaria.gob.mx/es/PTP/Datos_Abiertos</w:t>
        </w:r>
      </w:hyperlink>
    </w:p>
    <w:p w:rsidR="00137C5E" w:rsidRDefault="00F44C08" w:rsidP="008F4ECB">
      <w:pPr>
        <w:autoSpaceDE w:val="0"/>
        <w:autoSpaceDN w:val="0"/>
        <w:adjustRightInd w:val="0"/>
        <w:spacing w:after="480" w:line="480" w:lineRule="auto"/>
        <w:ind w:left="1134" w:hanging="1134"/>
        <w:contextualSpacing/>
        <w:jc w:val="both"/>
        <w:rPr>
          <w:rFonts w:ascii="Tahoma" w:hAnsi="Tahoma" w:cs="Tahoma"/>
          <w:szCs w:val="24"/>
          <w:lang w:val="es-ES" w:eastAsia="es-MX"/>
        </w:rPr>
      </w:pPr>
      <w:r w:rsidRPr="00F44C08">
        <w:rPr>
          <w:rFonts w:ascii="Tahoma" w:eastAsia="Batang" w:hAnsi="Tahoma" w:cs="Tahoma"/>
          <w:snapToGrid w:val="0"/>
          <w:sz w:val="24"/>
          <w:szCs w:val="24"/>
        </w:rPr>
        <w:t xml:space="preserve">Transparencia Presupuestaria. (2018). Presupuesto de Egresos de la Federación para el Ejercicio Fiscal 2017. Objetivos, Indicadores y Metas para Resultados de los Programas Presupuestarios. Ramo 33. Aportaciones Federales para Entidades Federativas y Municipios. </w:t>
      </w:r>
      <w:r w:rsidR="00137C5E">
        <w:rPr>
          <w:rFonts w:ascii="Tahoma" w:hAnsi="Tahoma" w:cs="Tahoma"/>
          <w:szCs w:val="24"/>
          <w:lang w:val="es-ES" w:eastAsia="es-MX"/>
        </w:rPr>
        <w:br w:type="page"/>
      </w:r>
    </w:p>
    <w:p w:rsidR="00E860AF" w:rsidRDefault="00137C5E" w:rsidP="00573B70">
      <w:pPr>
        <w:pStyle w:val="ListParagraph"/>
        <w:autoSpaceDE w:val="0"/>
        <w:autoSpaceDN w:val="0"/>
        <w:adjustRightInd w:val="0"/>
        <w:ind w:left="360"/>
        <w:contextualSpacing/>
        <w:jc w:val="both"/>
        <w:rPr>
          <w:rFonts w:ascii="Tahoma" w:hAnsi="Tahoma" w:cs="Tahoma"/>
          <w:szCs w:val="24"/>
          <w:lang w:val="es-ES" w:eastAsia="es-MX"/>
        </w:rPr>
      </w:pPr>
      <w:r>
        <w:rPr>
          <w:noProof/>
          <w:sz w:val="16"/>
          <w:lang w:val="en-US"/>
        </w:rPr>
        <mc:AlternateContent>
          <mc:Choice Requires="wps">
            <w:drawing>
              <wp:anchor distT="0" distB="0" distL="114300" distR="114300" simplePos="0" relativeHeight="251664896" behindDoc="1" locked="0" layoutInCell="1" allowOverlap="1" wp14:anchorId="271E6950" wp14:editId="54BAF156">
                <wp:simplePos x="0" y="0"/>
                <wp:positionH relativeFrom="column">
                  <wp:posOffset>-1080135</wp:posOffset>
                </wp:positionH>
                <wp:positionV relativeFrom="paragraph">
                  <wp:posOffset>-1074420</wp:posOffset>
                </wp:positionV>
                <wp:extent cx="7790815" cy="10247630"/>
                <wp:effectExtent l="0" t="0" r="635" b="1270"/>
                <wp:wrapNone/>
                <wp:docPr id="13" name="13 Rectángulo"/>
                <wp:cNvGraphicFramePr/>
                <a:graphic xmlns:a="http://schemas.openxmlformats.org/drawingml/2006/main">
                  <a:graphicData uri="http://schemas.microsoft.com/office/word/2010/wordprocessingShape">
                    <wps:wsp>
                      <wps:cNvSpPr/>
                      <wps:spPr>
                        <a:xfrm>
                          <a:off x="0" y="0"/>
                          <a:ext cx="7790815" cy="1024763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E8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1E6950" id="13 Rectángulo" o:spid="_x0000_s1042" style="position:absolute;left:0;text-align:left;margin-left:-85.05pt;margin-top:-84.6pt;width:613.45pt;height:806.9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fcrQIAAMUFAAAOAAAAZHJzL2Uyb0RvYy54bWysVMFu2zAMvQ/YPwi6r7bTtGmDOkXQosOA&#10;bi3aDj0rshwbkERNUmJnf7Nv2Y+Nkhw36IoNGOaDLIrko/hE8uKyV5JshXUt6JIWRzklQnOoWr0u&#10;6denmw9nlDjPdMUkaFHSnXD0cvH+3UVn5mICDchKWIIg2s07U9LGezPPMscboZg7AiM0KmuwinkU&#10;7TqrLOsQXclskuenWQe2Mha4cA5Pr5OSLiJ+XQvu7+raCU9kSfFuPq42rquwZosLNl9bZpqWD9dg&#10;/3ALxVqNQUeoa+YZ2dj2NyjVcgsOan/EQWVQ1y0XMQfMpshfZfPYMCNiLkiOMyNN7v/B8i/be0va&#10;Ct/umBLNFL5RcUwekLifP/R6IyFQ1Bk3R8tHc28HyeE25NvXVoU/ZkL6SOtupFX0nnA8nM3O87Pi&#10;hBKOuiKfTGenx5H57MXfWOc/ClAkbEpqMX7kk21vnceYaLo3CeEcyLa6aaWMQigWcSUt2TJ8Zsa5&#10;0H4S3eVGfYYqnZ/k+IVsECvWV3BJ0iGa1AFTQ0BPxuEkCxSkpOPO76QIdlI/iBr5wzRTxBH58DJF&#10;vIxrWCX+dpcIGJBrjD9iDwBvJVoMKQ32wVXEwh+d8xT9T86jR4wM2o/OqtVg3wKQfoyc7PckJWoC&#10;S75f9am2TvdVtIJqhwVnIXWiM/ymxRe/Zc7fM4uth02K48Tf4VJL6EoKw46SBuz3t86DPXYEainp&#10;sJVL6r5tmBWUyE8ae+W8mE5D70dhejKboGAPNatDjd6oK8AyKnBwGR63wd7L/ba2oJ5x6ixDVFQx&#10;zTF2Sbm3e+HKpxGDc4uL5TKaYb8b5m/1o+EBPBAdKvqpf2bWDGXvsWW+wL7t2fxV9Sfb4KlhufFQ&#10;t7E1AtWJ1+EJcFbEuh7mWhhGh3K0epm+i18AAAD//wMAUEsDBBQABgAIAAAAIQA9/BqC4AAAAA8B&#10;AAAPAAAAZHJzL2Rvd25yZXYueG1sTI/NTsMwEITvSLyDtUjcWjshDSWNUwFShTj25wHcZBtHxOvI&#10;dtvk7XFOcJvRfpqdKbej6dkNne8sSUiWAhhSbZuOWgmn426xBuaDokb1llDChB621eNDqYrG3mmP&#10;t0NoWQwhXygJOoSh4NzXGo3ySzsgxdvFOqNCtK7ljVP3GG56ngqRc6M6ih+0GvBTY/1zuBoJL3n6&#10;jdMpfOzXu1XrBH3pKSMpn5/G9w2wgGP4g2GuH6tDFTud7ZUaz3oJi+RVJJGdVf6WApsZscrjnnNU&#10;WZblwKuS/99R/QIAAP//AwBQSwECLQAUAAYACAAAACEAtoM4kv4AAADhAQAAEwAAAAAAAAAAAAAA&#10;AAAAAAAAW0NvbnRlbnRfVHlwZXNdLnhtbFBLAQItABQABgAIAAAAIQA4/SH/1gAAAJQBAAALAAAA&#10;AAAAAAAAAAAAAC8BAABfcmVscy8ucmVsc1BLAQItABQABgAIAAAAIQAQ75fcrQIAAMUFAAAOAAAA&#10;AAAAAAAAAAAAAC4CAABkcnMvZTJvRG9jLnhtbFBLAQItABQABgAIAAAAIQA9/BqC4AAAAA8BAAAP&#10;AAAAAAAAAAAAAAAAAAcFAABkcnMvZG93bnJldi54bWxQSwUGAAAAAAQABADzAAAAFAYAAAAA&#10;" fillcolor="#622423 [1605]" stroked="f" strokeweight="2pt">
                <v:textbox>
                  <w:txbxContent>
                    <w:p w:rsidR="00E0113E" w:rsidRDefault="00E0113E" w:rsidP="00E860AF">
                      <w:pPr>
                        <w:jc w:val="center"/>
                      </w:pPr>
                    </w:p>
                  </w:txbxContent>
                </v:textbox>
              </v:rect>
            </w:pict>
          </mc:Fallback>
        </mc:AlternateContent>
      </w:r>
    </w:p>
    <w:p w:rsidR="00E860AF" w:rsidRDefault="00E860AF" w:rsidP="00E860AF">
      <w:pPr>
        <w:jc w:val="center"/>
      </w:pPr>
      <w:r>
        <w:rPr>
          <w:noProof/>
          <w:lang w:val="en-US"/>
        </w:rPr>
        <mc:AlternateContent>
          <mc:Choice Requires="wps">
            <w:drawing>
              <wp:anchor distT="0" distB="0" distL="114300" distR="114300" simplePos="0" relativeHeight="251665920" behindDoc="1" locked="0" layoutInCell="1" allowOverlap="1" wp14:anchorId="22C950D4" wp14:editId="202E8DAA">
                <wp:simplePos x="0" y="0"/>
                <wp:positionH relativeFrom="column">
                  <wp:posOffset>1057275</wp:posOffset>
                </wp:positionH>
                <wp:positionV relativeFrom="paragraph">
                  <wp:posOffset>-296545</wp:posOffset>
                </wp:positionV>
                <wp:extent cx="5653405" cy="4144010"/>
                <wp:effectExtent l="0" t="0" r="4445" b="8890"/>
                <wp:wrapNone/>
                <wp:docPr id="12" name="12 Rectángulo"/>
                <wp:cNvGraphicFramePr/>
                <a:graphic xmlns:a="http://schemas.openxmlformats.org/drawingml/2006/main">
                  <a:graphicData uri="http://schemas.microsoft.com/office/word/2010/wordprocessingShape">
                    <wps:wsp>
                      <wps:cNvSpPr/>
                      <wps:spPr>
                        <a:xfrm>
                          <a:off x="0" y="0"/>
                          <a:ext cx="5653405" cy="414401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947FB" id="12 Rectángulo" o:spid="_x0000_s1026" style="position:absolute;margin-left:83.25pt;margin-top:-23.35pt;width:445.15pt;height:32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8MoQIAALEFAAAOAAAAZHJzL2Uyb0RvYy54bWysVMFu2zAMvQ/YPwi6r7azpN2COEXQosOA&#10;rg3aDj0rshQbkERNUuJkf7Nv2Y+Nkh0364Idhl1kUSQfyWeSs8udVmQrnG/AlLQ4yykRhkPVmHVJ&#10;vz7dvPtAiQ/MVEyBESXdC08v52/fzFo7FSOoQVXCEQQxftraktYh2GmWeV4LzfwZWGFQKcFpFlB0&#10;66xyrEV0rbJRnp9nLbjKOuDCe3y97pR0nvClFDzcS+lFIKqkmFtIp0vnKp7ZfMama8ds3fA+DfYP&#10;WWjWGAw6QF2zwMjGNX9A6YY78CDDGQedgZQNF6kGrKbIX1XzWDMrUi1IjrcDTf7/wfK77dKRpsJ/&#10;N6LEMI3/qBiRByTu5w+z3iiIFLXWT9Hy0S5dL3m8xnp30un4xUrILtG6H2gVu0A4Pk7OJ+/H+YQS&#10;jrpxMR5jpRE1e3G3zodPAjSJl5I6DJ/oZNtbHzrTg0mM5kE11U2jVBJir4gr5ciW4V9mnAsTzpO7&#10;2ugvUHXvF5M8P4RN7RVdUhK/oSkTMQ1E9C5wfMkiA13N6Rb2SkQ7ZR6ERPqwylGKOCAfJ1N0qppV&#10;onuOqZzOJQFGZInxB+we4FShRc9kbx9dRer7wTn/W2JdiYNHigwmDM66MeBOAagwRO7sDyR11ESW&#10;VlDtsbkcdFPnLb9p8PfeMh+WzOGY4UDi6gj3eEgFbUmhv1FSg/t+6j3aY/ejlpIWx7ak/tuGOUGJ&#10;+mxwLj7G9sI5T8J4cjFCwR1rVscas9FXgD1T4JKyPF2jfVCHq3Sgn3HDLGJUVDHDMXZJeXAH4Sp0&#10;6wR3FBeLRTLD2bYs3JpHyyN4ZDW279PumTnb93jA8biDw4iz6atW72yjp4HFJoBs0hy88NrzjXsh&#10;NXG/w+LiOZaT1cumnf8CAAD//wMAUEsDBBQABgAIAAAAIQAMzlkV4QAAAAwBAAAPAAAAZHJzL2Rv&#10;d25yZXYueG1sTI9NS8NAFEX3gv9heIK7dkYxU5tmUorgQhCxtRSXk8xrEpyPkJk20V/v60qXl3e4&#10;79xiPTnLzjjELngFd3MBDH0dTOcbBfuP59kjsJi0N9oGjwq+McK6vL4qdG7C6Ld43qWGUYmPuVbQ&#10;ptTnnMe6RafjPPTo6XYMg9OJ4tBwM+iRyp3l90JI7nTn6UOre3xqsf7anZyC5QbfzLj/TPZ1/DEH&#10;fF+8HEKl1O3NtFkBSzilPxgu+qQOJTlV4eRNZJaylBmhCmYPcgHsQohM0ppKgRTZEnhZ8P8jyl8A&#10;AAD//wMAUEsBAi0AFAAGAAgAAAAhALaDOJL+AAAA4QEAABMAAAAAAAAAAAAAAAAAAAAAAFtDb250&#10;ZW50X1R5cGVzXS54bWxQSwECLQAUAAYACAAAACEAOP0h/9YAAACUAQAACwAAAAAAAAAAAAAAAAAv&#10;AQAAX3JlbHMvLnJlbHNQSwECLQAUAAYACAAAACEA48j/DKECAACxBQAADgAAAAAAAAAAAAAAAAAu&#10;AgAAZHJzL2Uyb0RvYy54bWxQSwECLQAUAAYACAAAACEADM5ZFeEAAAAMAQAADwAAAAAAAAAAAAAA&#10;AAD7BAAAZHJzL2Rvd25yZXYueG1sUEsFBgAAAAAEAAQA8wAAAAkGAAAAAA==&#10;" fillcolor="#e36c0a [2409]" stroked="f" strokeweight="2pt"/>
            </w:pict>
          </mc:Fallback>
        </mc:AlternateContent>
      </w:r>
      <w:r w:rsidRPr="002E6005">
        <w:rPr>
          <w:noProof/>
          <w:sz w:val="16"/>
          <w:shd w:val="clear" w:color="auto" w:fill="31849B" w:themeFill="accent5" w:themeFillShade="BF"/>
          <w:lang w:val="en-US"/>
        </w:rPr>
        <w:drawing>
          <wp:anchor distT="0" distB="0" distL="114300" distR="114300" simplePos="0" relativeHeight="251667968" behindDoc="0" locked="0" layoutInCell="1" allowOverlap="1" wp14:anchorId="34FD7286" wp14:editId="7A1F4842">
            <wp:simplePos x="0" y="0"/>
            <wp:positionH relativeFrom="column">
              <wp:posOffset>1943735</wp:posOffset>
            </wp:positionH>
            <wp:positionV relativeFrom="paragraph">
              <wp:posOffset>-66040</wp:posOffset>
            </wp:positionV>
            <wp:extent cx="3790950" cy="1016635"/>
            <wp:effectExtent l="0" t="0" r="0" b="0"/>
            <wp:wrapNone/>
            <wp:docPr id="19" name="Imagen 19"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60AF" w:rsidRDefault="00E860AF" w:rsidP="00E860AF">
      <w:pPr>
        <w:jc w:val="center"/>
      </w:pPr>
    </w:p>
    <w:p w:rsidR="00E860AF" w:rsidRDefault="00E860AF" w:rsidP="00E860AF">
      <w:pPr>
        <w:jc w:val="center"/>
      </w:pPr>
    </w:p>
    <w:p w:rsidR="00E860AF" w:rsidRDefault="00E860AF" w:rsidP="00E860AF">
      <w:pPr>
        <w:ind w:left="2552" w:right="-518"/>
        <w:jc w:val="center"/>
        <w:rPr>
          <w:b/>
          <w:color w:val="948A54" w:themeColor="background2" w:themeShade="80"/>
          <w:sz w:val="40"/>
          <w:szCs w:val="40"/>
        </w:rPr>
      </w:pPr>
    </w:p>
    <w:p w:rsidR="00E860AF" w:rsidRDefault="00E860AF" w:rsidP="005A24D0">
      <w:pPr>
        <w:ind w:left="2552" w:right="-518"/>
        <w:jc w:val="right"/>
        <w:rPr>
          <w:b/>
          <w:color w:val="1D1B11" w:themeColor="background2" w:themeShade="1A"/>
          <w:sz w:val="40"/>
          <w:szCs w:val="40"/>
        </w:rPr>
      </w:pPr>
      <w:r w:rsidRPr="00E860AF">
        <w:rPr>
          <w:b/>
          <w:color w:val="1D1B11" w:themeColor="background2" w:themeShade="1A"/>
          <w:sz w:val="40"/>
          <w:szCs w:val="40"/>
        </w:rPr>
        <w:t>P</w:t>
      </w:r>
      <w:r>
        <w:rPr>
          <w:b/>
          <w:color w:val="1D1B11" w:themeColor="background2" w:themeShade="1A"/>
          <w:sz w:val="40"/>
          <w:szCs w:val="40"/>
        </w:rPr>
        <w:t xml:space="preserve">rograma </w:t>
      </w:r>
      <w:r w:rsidRPr="00E860AF">
        <w:rPr>
          <w:b/>
          <w:color w:val="1D1B11" w:themeColor="background2" w:themeShade="1A"/>
          <w:sz w:val="40"/>
          <w:szCs w:val="40"/>
        </w:rPr>
        <w:t>A</w:t>
      </w:r>
      <w:r>
        <w:rPr>
          <w:b/>
          <w:color w:val="1D1B11" w:themeColor="background2" w:themeShade="1A"/>
          <w:sz w:val="40"/>
          <w:szCs w:val="40"/>
        </w:rPr>
        <w:t xml:space="preserve">nual de </w:t>
      </w:r>
      <w:r w:rsidRPr="00E860AF">
        <w:rPr>
          <w:b/>
          <w:color w:val="1D1B11" w:themeColor="background2" w:themeShade="1A"/>
          <w:sz w:val="40"/>
          <w:szCs w:val="40"/>
        </w:rPr>
        <w:t>E</w:t>
      </w:r>
      <w:r>
        <w:rPr>
          <w:b/>
          <w:color w:val="1D1B11" w:themeColor="background2" w:themeShade="1A"/>
          <w:sz w:val="40"/>
          <w:szCs w:val="40"/>
        </w:rPr>
        <w:t>valuación</w:t>
      </w:r>
      <w:r w:rsidRPr="00E860AF">
        <w:rPr>
          <w:b/>
          <w:color w:val="1D1B11" w:themeColor="background2" w:themeShade="1A"/>
          <w:sz w:val="40"/>
          <w:szCs w:val="40"/>
        </w:rPr>
        <w:t xml:space="preserve"> 2017</w:t>
      </w:r>
    </w:p>
    <w:p w:rsidR="00E860AF" w:rsidRDefault="00E860AF" w:rsidP="005A24D0">
      <w:pPr>
        <w:ind w:left="2552" w:right="-518"/>
        <w:jc w:val="right"/>
        <w:rPr>
          <w:b/>
          <w:color w:val="1D1B11" w:themeColor="background2" w:themeShade="1A"/>
          <w:sz w:val="40"/>
          <w:szCs w:val="40"/>
        </w:rPr>
      </w:pPr>
      <w:r w:rsidRPr="00BC34A6">
        <w:rPr>
          <w:b/>
          <w:color w:val="1D1B11" w:themeColor="background2" w:themeShade="1A"/>
          <w:sz w:val="40"/>
          <w:szCs w:val="40"/>
        </w:rPr>
        <w:t>EVALUACIÓN ESPECÍFICA DE DESEMPEÑO PARTICIPACIONES FEDERALES A ENTIDADES FEDERATIVAS</w:t>
      </w:r>
      <w:r>
        <w:rPr>
          <w:b/>
          <w:color w:val="1D1B11" w:themeColor="background2" w:themeShade="1A"/>
          <w:sz w:val="40"/>
          <w:szCs w:val="40"/>
        </w:rPr>
        <w:t xml:space="preserve"> 2017</w:t>
      </w:r>
      <w:r w:rsidRPr="00BC34A6">
        <w:rPr>
          <w:b/>
          <w:color w:val="1D1B11" w:themeColor="background2" w:themeShade="1A"/>
          <w:sz w:val="40"/>
          <w:szCs w:val="40"/>
        </w:rPr>
        <w:t xml:space="preserve"> </w:t>
      </w:r>
    </w:p>
    <w:p w:rsidR="00E860AF" w:rsidRPr="00BC34A6" w:rsidRDefault="00E860AF" w:rsidP="00E860AF">
      <w:pPr>
        <w:ind w:left="2552" w:right="-518"/>
        <w:jc w:val="center"/>
        <w:rPr>
          <w:color w:val="1D1B11" w:themeColor="background2" w:themeShade="1A"/>
        </w:rPr>
      </w:pPr>
    </w:p>
    <w:p w:rsidR="00E860AF" w:rsidRDefault="00E860AF" w:rsidP="00E860AF"/>
    <w:p w:rsidR="00E860AF" w:rsidRDefault="00E860AF" w:rsidP="00E860AF"/>
    <w:p w:rsidR="00E860AF" w:rsidRDefault="00E860AF" w:rsidP="00E860AF"/>
    <w:p w:rsidR="00E860AF" w:rsidRDefault="00E860AF" w:rsidP="00E860AF">
      <w:r>
        <w:rPr>
          <w:noProof/>
          <w:lang w:val="en-US"/>
        </w:rPr>
        <mc:AlternateContent>
          <mc:Choice Requires="wps">
            <w:drawing>
              <wp:anchor distT="0" distB="0" distL="114300" distR="114300" simplePos="0" relativeHeight="251666944" behindDoc="1" locked="0" layoutInCell="1" allowOverlap="1" wp14:anchorId="1D23F40E" wp14:editId="07567C1B">
                <wp:simplePos x="0" y="0"/>
                <wp:positionH relativeFrom="column">
                  <wp:posOffset>-1080135</wp:posOffset>
                </wp:positionH>
                <wp:positionV relativeFrom="paragraph">
                  <wp:posOffset>41910</wp:posOffset>
                </wp:positionV>
                <wp:extent cx="4702175" cy="3169920"/>
                <wp:effectExtent l="0" t="0" r="3175" b="0"/>
                <wp:wrapNone/>
                <wp:docPr id="18" name="18 Rectángulo"/>
                <wp:cNvGraphicFramePr/>
                <a:graphic xmlns:a="http://schemas.openxmlformats.org/drawingml/2006/main">
                  <a:graphicData uri="http://schemas.microsoft.com/office/word/2010/wordprocessingShape">
                    <wps:wsp>
                      <wps:cNvSpPr/>
                      <wps:spPr>
                        <a:xfrm>
                          <a:off x="0" y="0"/>
                          <a:ext cx="4702175" cy="31699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13E" w:rsidRDefault="00E0113E" w:rsidP="00E860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E860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E860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Pr="009B2CFF" w:rsidRDefault="00E0113E" w:rsidP="00E860AF">
                            <w:pPr>
                              <w:autoSpaceDE w:val="0"/>
                              <w:autoSpaceDN w:val="0"/>
                              <w:adjustRightInd w:val="0"/>
                              <w:spacing w:after="0" w:line="240" w:lineRule="auto"/>
                              <w:jc w:val="center"/>
                              <w:rPr>
                                <w:rFonts w:ascii="Times New Roman" w:eastAsia="Times New Roman" w:hAnsi="Times New Roman" w:cs="Times New Roman"/>
                                <w:color w:val="000000"/>
                                <w:sz w:val="20"/>
                                <w:szCs w:val="16"/>
                              </w:rPr>
                            </w:pPr>
                            <w:r w:rsidRPr="009B2CFF">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2CFF">
                              <w:rPr>
                                <w:rFonts w:ascii="Times New Roman" w:eastAsia="Times New Roman" w:hAnsi="Times New Roman" w:cs="Times New Roman"/>
                                <w:color w:val="000000"/>
                                <w:sz w:val="20"/>
                                <w:szCs w:val="16"/>
                              </w:rPr>
                              <w:t xml:space="preserve"> GRUPO DE INVESTIGACIÓN EN</w:t>
                            </w:r>
                          </w:p>
                          <w:p w:rsidR="00E0113E" w:rsidRPr="009B2CFF" w:rsidRDefault="00E0113E" w:rsidP="00E860AF">
                            <w:pPr>
                              <w:rPr>
                                <w:rFonts w:ascii="Times New Roman" w:eastAsia="Times New Roman" w:hAnsi="Times New Roman" w:cs="Times New Roman"/>
                                <w:color w:val="000000"/>
                                <w:sz w:val="20"/>
                                <w:szCs w:val="16"/>
                              </w:rPr>
                            </w:pPr>
                            <w:r w:rsidRPr="009B2CFF">
                              <w:rPr>
                                <w:rFonts w:ascii="Times New Roman" w:eastAsia="Times New Roman" w:hAnsi="Times New Roman" w:cs="Times New Roman"/>
                                <w:color w:val="000000"/>
                                <w:sz w:val="20"/>
                                <w:szCs w:val="16"/>
                              </w:rPr>
                              <w:t xml:space="preserve">                                                  </w:t>
                            </w:r>
                            <w:r>
                              <w:rPr>
                                <w:rFonts w:ascii="Times New Roman" w:eastAsia="Times New Roman" w:hAnsi="Times New Roman" w:cs="Times New Roman"/>
                                <w:color w:val="000000"/>
                                <w:sz w:val="20"/>
                                <w:szCs w:val="16"/>
                              </w:rPr>
                              <w:t xml:space="preserve">     </w:t>
                            </w:r>
                            <w:r w:rsidRPr="009B2CFF">
                              <w:rPr>
                                <w:rFonts w:ascii="Times New Roman" w:eastAsia="Times New Roman" w:hAnsi="Times New Roman" w:cs="Times New Roman"/>
                                <w:color w:val="000000"/>
                                <w:sz w:val="20"/>
                                <w:szCs w:val="16"/>
                              </w:rPr>
                              <w:t>CONSULTORÍA ESPECIALIZADA</w:t>
                            </w:r>
                          </w:p>
                          <w:p w:rsidR="00E0113E" w:rsidRDefault="00E0113E" w:rsidP="00E8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3F40E" id="18 Rectángulo" o:spid="_x0000_s1043" style="position:absolute;margin-left:-85.05pt;margin-top:3.3pt;width:370.25pt;height:24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WesgIAAMAFAAAOAAAAZHJzL2Uyb0RvYy54bWysVM1u2zAMvg/YOwi6r7aztGmDOkXQosOA&#10;ri3aDj0rspQYkEVNUmJnb7Nn6YuNkmz3Z8UOwy62KJIfyU8kT8+6RpGdsK4GXdLiIKdEaA5Vrdcl&#10;/f5w+emYEueZrpgCLUq6F46eLT5+OG3NXExgA6oSliCIdvPWlHTjvZlnmeMb0TB3AEZoVEqwDfMo&#10;2nVWWdYieqOySZ4fZS3Yyljgwjm8vUhKuoj4Ugrub6R0whNVUszNx6+N31X4ZotTNl9bZjY179Ng&#10;/5BFw2qNQUeoC+YZ2dr6D6im5hYcSH/AoclAypqLWANWU+RvqrnfMCNiLUiOMyNN7v/B8uvdrSV1&#10;hW+HL6VZg29UHJM7JO7pl15vFQSKWuPmaHlvbm0vOTyGejtpm/DHSkgXad2PtIrOE46X01k+KWaH&#10;lHDUfS6OTk4mkfjs2d1Y578IaEg4lNRi+Egn2105jyHRdDAJ0RyourqslYpC6BVxrizZMXzl1bqI&#10;rmrbfIMq3R0d5vkQMrZWMI+or5CUDngaAnIKGm6yUH2qN578Xolgp/SdkEgdVjiJEUfkFJRxLrRP&#10;ybgNq0S6Dqm8n0sEDMgS44/YPcDrIgfslGVvH1xF7PnROf9bYsl59IiRQfvRuak12PcAFFbVR072&#10;A0mJmsCS71ZdaqvZ0EArqPbYaxbSEDrDL2t87Svm/C2zOHU4n7hJ/A1+pIK2pNCfKNmA/fnefbDH&#10;YUAtJS1OcUndjy2zghL1VeOYnBTTaRj7KEwPZ9h4xL7UrF5q9LY5B2yhAneW4fEY7L0ajtJC84gL&#10;ZxmiooppjrFLyr0dhHOftguuLC6Wy2iGo26Yv9L3hgfwQHTo5ofukVnTt7zHabmGYeLZ/E3nJ9vg&#10;qWG59SDrOBaB6sRr/wS4JmJf9yst7KGXcrR6XryL3wAAAP//AwBQSwMEFAAGAAgAAAAhAGVzOnLf&#10;AAAACgEAAA8AAABkcnMvZG93bnJldi54bWxMj8FOwzAMhu9IvENkJG5b0oq1Vdd0GpO4IjGQgFvW&#10;eG1F4lRN2pU9PeEEN1v+9Pv7q91iDZtx9L0jCclaAENqnO6plfD2+rQqgPmgSCvjCCV8o4ddfXtT&#10;qVK7C73gfAwtiyHkSyWhC2EoOfdNh1b5tRuQ4u3sRqtCXMeW61FdYrg1PBUi41b1FD90asBDh83X&#10;cbIS6DOdQ341H9P1udin2rjH94OT8v5u2W+BBVzCHwy/+lEd6uh0chNpz4yEVZKLJLISsgxYBDa5&#10;eAB2ioPYFMDriv+vUP8AAAD//wMAUEsBAi0AFAAGAAgAAAAhALaDOJL+AAAA4QEAABMAAAAAAAAA&#10;AAAAAAAAAAAAAFtDb250ZW50X1R5cGVzXS54bWxQSwECLQAUAAYACAAAACEAOP0h/9YAAACUAQAA&#10;CwAAAAAAAAAAAAAAAAAvAQAAX3JlbHMvLnJlbHNQSwECLQAUAAYACAAAACEA7mRVnrICAADABQAA&#10;DgAAAAAAAAAAAAAAAAAuAgAAZHJzL2Uyb0RvYy54bWxQSwECLQAUAAYACAAAACEAZXM6ct8AAAAK&#10;AQAADwAAAAAAAAAAAAAAAAAMBQAAZHJzL2Rvd25yZXYueG1sUEsFBgAAAAAEAAQA8wAAABgGAAAA&#10;AA==&#10;" fillcolor="#a5a5a5 [2092]" stroked="f" strokeweight="2pt">
                <v:textbox>
                  <w:txbxContent>
                    <w:p w:rsidR="00E0113E" w:rsidRDefault="00E0113E" w:rsidP="00E860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E860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Default="00E0113E" w:rsidP="00E860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0113E" w:rsidRPr="009B2CFF" w:rsidRDefault="00E0113E" w:rsidP="00E860AF">
                      <w:pPr>
                        <w:autoSpaceDE w:val="0"/>
                        <w:autoSpaceDN w:val="0"/>
                        <w:adjustRightInd w:val="0"/>
                        <w:spacing w:after="0" w:line="240" w:lineRule="auto"/>
                        <w:jc w:val="center"/>
                        <w:rPr>
                          <w:rFonts w:ascii="Times New Roman" w:eastAsia="Times New Roman" w:hAnsi="Times New Roman" w:cs="Times New Roman"/>
                          <w:color w:val="000000"/>
                          <w:sz w:val="20"/>
                          <w:szCs w:val="16"/>
                        </w:rPr>
                      </w:pPr>
                      <w:r w:rsidRPr="009B2CFF">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2CFF">
                        <w:rPr>
                          <w:rFonts w:ascii="Times New Roman" w:eastAsia="Times New Roman" w:hAnsi="Times New Roman" w:cs="Times New Roman"/>
                          <w:color w:val="000000"/>
                          <w:sz w:val="20"/>
                          <w:szCs w:val="16"/>
                        </w:rPr>
                        <w:t xml:space="preserve"> GRUPO DE INVESTIGACIÓN EN</w:t>
                      </w:r>
                    </w:p>
                    <w:p w:rsidR="00E0113E" w:rsidRPr="009B2CFF" w:rsidRDefault="00E0113E" w:rsidP="00E860AF">
                      <w:pPr>
                        <w:rPr>
                          <w:rFonts w:ascii="Times New Roman" w:eastAsia="Times New Roman" w:hAnsi="Times New Roman" w:cs="Times New Roman"/>
                          <w:color w:val="000000"/>
                          <w:sz w:val="20"/>
                          <w:szCs w:val="16"/>
                        </w:rPr>
                      </w:pPr>
                      <w:r w:rsidRPr="009B2CFF">
                        <w:rPr>
                          <w:rFonts w:ascii="Times New Roman" w:eastAsia="Times New Roman" w:hAnsi="Times New Roman" w:cs="Times New Roman"/>
                          <w:color w:val="000000"/>
                          <w:sz w:val="20"/>
                          <w:szCs w:val="16"/>
                        </w:rPr>
                        <w:t xml:space="preserve">                                                  </w:t>
                      </w:r>
                      <w:r>
                        <w:rPr>
                          <w:rFonts w:ascii="Times New Roman" w:eastAsia="Times New Roman" w:hAnsi="Times New Roman" w:cs="Times New Roman"/>
                          <w:color w:val="000000"/>
                          <w:sz w:val="20"/>
                          <w:szCs w:val="16"/>
                        </w:rPr>
                        <w:t xml:space="preserve">     </w:t>
                      </w:r>
                      <w:r w:rsidRPr="009B2CFF">
                        <w:rPr>
                          <w:rFonts w:ascii="Times New Roman" w:eastAsia="Times New Roman" w:hAnsi="Times New Roman" w:cs="Times New Roman"/>
                          <w:color w:val="000000"/>
                          <w:sz w:val="20"/>
                          <w:szCs w:val="16"/>
                        </w:rPr>
                        <w:t>CONSULTORÍA ESPECIALIZADA</w:t>
                      </w:r>
                    </w:p>
                    <w:p w:rsidR="00E0113E" w:rsidRDefault="00E0113E" w:rsidP="00E860AF">
                      <w:pPr>
                        <w:jc w:val="center"/>
                      </w:pPr>
                    </w:p>
                  </w:txbxContent>
                </v:textbox>
              </v:rect>
            </w:pict>
          </mc:Fallback>
        </mc:AlternateContent>
      </w:r>
    </w:p>
    <w:p w:rsidR="00E860AF" w:rsidRDefault="00E860AF" w:rsidP="00E860AF"/>
    <w:p w:rsidR="00E860AF" w:rsidRDefault="00E860AF" w:rsidP="00E860AF">
      <w:r>
        <w:rPr>
          <w:noProof/>
          <w:lang w:val="en-US"/>
        </w:rPr>
        <w:drawing>
          <wp:anchor distT="0" distB="0" distL="114300" distR="114300" simplePos="0" relativeHeight="251668992" behindDoc="1" locked="0" layoutInCell="1" allowOverlap="1" wp14:anchorId="1BE3C212" wp14:editId="0B98F11A">
            <wp:simplePos x="0" y="0"/>
            <wp:positionH relativeFrom="column">
              <wp:posOffset>4523740</wp:posOffset>
            </wp:positionH>
            <wp:positionV relativeFrom="paragraph">
              <wp:posOffset>262255</wp:posOffset>
            </wp:positionV>
            <wp:extent cx="1567180" cy="1567180"/>
            <wp:effectExtent l="0" t="0" r="0" b="0"/>
            <wp:wrapNone/>
            <wp:docPr id="21" name="Imagen 21" descr="Resultado de imagen para spf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pf bc"/>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56718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0AF" w:rsidRDefault="00E860AF" w:rsidP="00E860AF"/>
    <w:p w:rsidR="00E860AF" w:rsidRDefault="00E860AF" w:rsidP="00E860AF"/>
    <w:p w:rsidR="00E860AF" w:rsidRDefault="00E860AF" w:rsidP="00E860AF"/>
    <w:p w:rsidR="00E860AF" w:rsidRDefault="00E860AF" w:rsidP="00E860AF"/>
    <w:p w:rsidR="00E860AF" w:rsidRDefault="00E860AF" w:rsidP="00E860AF"/>
    <w:p w:rsidR="00E860AF" w:rsidRDefault="00E860AF" w:rsidP="00E860AF"/>
    <w:p w:rsidR="00E860AF" w:rsidRPr="00E860AF" w:rsidRDefault="00E860AF" w:rsidP="00573B70">
      <w:pPr>
        <w:pStyle w:val="ListParagraph"/>
        <w:autoSpaceDE w:val="0"/>
        <w:autoSpaceDN w:val="0"/>
        <w:adjustRightInd w:val="0"/>
        <w:ind w:left="360"/>
        <w:contextualSpacing/>
        <w:jc w:val="both"/>
        <w:rPr>
          <w:rFonts w:ascii="Tahoma" w:hAnsi="Tahoma" w:cs="Tahoma"/>
          <w:szCs w:val="24"/>
          <w:lang w:eastAsia="es-MX"/>
        </w:rPr>
      </w:pPr>
    </w:p>
    <w:p w:rsidR="00445CB0" w:rsidRPr="003D57BC" w:rsidRDefault="00445CB0" w:rsidP="003D57BC">
      <w:pPr>
        <w:pStyle w:val="Heading1"/>
        <w:jc w:val="center"/>
        <w:rPr>
          <w:color w:val="632423" w:themeColor="accent2" w:themeShade="80"/>
        </w:rPr>
      </w:pPr>
      <w:bookmarkStart w:id="25" w:name="_Toc520556954"/>
      <w:r w:rsidRPr="003D57BC">
        <w:rPr>
          <w:color w:val="632423" w:themeColor="accent2" w:themeShade="80"/>
        </w:rPr>
        <w:t>ANEXO 1</w:t>
      </w:r>
      <w:r w:rsidR="003D57BC">
        <w:rPr>
          <w:color w:val="632423" w:themeColor="accent2" w:themeShade="80"/>
        </w:rPr>
        <w:t xml:space="preserve"> </w:t>
      </w:r>
      <w:r w:rsidRPr="003D57BC">
        <w:rPr>
          <w:color w:val="632423" w:themeColor="accent2" w:themeShade="80"/>
        </w:rPr>
        <w:t>PAE 201</w:t>
      </w:r>
      <w:r w:rsidR="005A24D0">
        <w:rPr>
          <w:color w:val="632423" w:themeColor="accent2" w:themeShade="80"/>
        </w:rPr>
        <w:t>8</w:t>
      </w:r>
      <w:bookmarkEnd w:id="25"/>
    </w:p>
    <w:p w:rsidR="00445CB0" w:rsidRPr="008A4720" w:rsidRDefault="00445CB0" w:rsidP="00445CB0">
      <w:pPr>
        <w:spacing w:after="0" w:line="240" w:lineRule="auto"/>
        <w:ind w:left="-284"/>
        <w:jc w:val="center"/>
        <w:rPr>
          <w:rFonts w:asciiTheme="majorHAnsi" w:hAnsiTheme="majorHAnsi"/>
          <w:b/>
          <w:color w:val="5D3203"/>
          <w:sz w:val="32"/>
          <w:szCs w:val="32"/>
        </w:rPr>
      </w:pPr>
      <w:r w:rsidRPr="008A4720">
        <w:rPr>
          <w:rFonts w:asciiTheme="majorHAnsi" w:hAnsiTheme="majorHAnsi"/>
          <w:b/>
          <w:color w:val="5D3203"/>
          <w:sz w:val="32"/>
          <w:szCs w:val="32"/>
        </w:rPr>
        <w:t>FORMATO PARA LA DIFUSIÓN DE LOS RESULTADOS DE LA EVALUACI</w:t>
      </w:r>
      <w:r w:rsidR="005A24D0">
        <w:rPr>
          <w:rFonts w:asciiTheme="majorHAnsi" w:hAnsiTheme="majorHAnsi"/>
          <w:b/>
          <w:color w:val="5D3203"/>
          <w:sz w:val="32"/>
          <w:szCs w:val="32"/>
        </w:rPr>
        <w:t>Ó</w:t>
      </w:r>
      <w:r w:rsidRPr="008A4720">
        <w:rPr>
          <w:rFonts w:asciiTheme="majorHAnsi" w:hAnsiTheme="majorHAnsi"/>
          <w:b/>
          <w:color w:val="5D3203"/>
          <w:sz w:val="32"/>
          <w:szCs w:val="32"/>
        </w:rPr>
        <w:t>N</w:t>
      </w:r>
    </w:p>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tbl>
      <w:tblPr>
        <w:tblStyle w:val="MediumShading1-Accent6"/>
        <w:tblW w:w="0" w:type="auto"/>
        <w:tblLook w:val="04A0" w:firstRow="1" w:lastRow="0" w:firstColumn="1" w:lastColumn="0" w:noHBand="0" w:noVBand="1"/>
      </w:tblPr>
      <w:tblGrid>
        <w:gridCol w:w="8818"/>
      </w:tblGrid>
      <w:tr w:rsidR="00AB6D06" w:rsidRPr="00AB6D06" w:rsidTr="009A3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AB6D06" w:rsidRDefault="00445CB0" w:rsidP="00445CB0">
            <w:pPr>
              <w:pStyle w:val="ListParagraph"/>
              <w:numPr>
                <w:ilvl w:val="0"/>
                <w:numId w:val="4"/>
              </w:numPr>
              <w:autoSpaceDE w:val="0"/>
              <w:autoSpaceDN w:val="0"/>
              <w:adjustRightInd w:val="0"/>
              <w:spacing w:before="120" w:after="120"/>
              <w:ind w:left="426"/>
              <w:contextualSpacing/>
              <w:jc w:val="both"/>
              <w:rPr>
                <w:rFonts w:ascii="Arial Narrow" w:hAnsi="Arial Narrow"/>
                <w:sz w:val="32"/>
                <w:szCs w:val="24"/>
              </w:rPr>
            </w:pPr>
            <w:r w:rsidRPr="00AB6D06">
              <w:rPr>
                <w:rFonts w:ascii="Arial Narrow" w:hAnsi="Arial Narrow"/>
                <w:sz w:val="32"/>
                <w:szCs w:val="24"/>
              </w:rPr>
              <w:t>DESCRIPCIÓN DE LA EVALUACIÓN</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Nombre completo de la evaluación:</w:t>
            </w:r>
          </w:p>
          <w:p w:rsidR="00445CB0" w:rsidRPr="00EC640E" w:rsidRDefault="005A24D0" w:rsidP="00557BDB">
            <w:pPr>
              <w:pStyle w:val="ListParagraph"/>
              <w:autoSpaceDE w:val="0"/>
              <w:autoSpaceDN w:val="0"/>
              <w:adjustRightInd w:val="0"/>
              <w:spacing w:before="120" w:after="120"/>
              <w:ind w:left="426"/>
              <w:contextualSpacing/>
              <w:jc w:val="both"/>
              <w:rPr>
                <w:rFonts w:ascii="Arial Narrow" w:hAnsi="Arial Narrow"/>
                <w:b w:val="0"/>
                <w:szCs w:val="24"/>
              </w:rPr>
            </w:pPr>
            <w:r w:rsidRPr="00EC640E">
              <w:rPr>
                <w:rFonts w:ascii="Arial Narrow" w:hAnsi="Arial Narrow"/>
                <w:b w:val="0"/>
                <w:szCs w:val="24"/>
              </w:rPr>
              <w:t xml:space="preserve">Evaluación específica del desempeño </w:t>
            </w:r>
            <w:r w:rsidRPr="009A306D">
              <w:rPr>
                <w:rFonts w:ascii="Arial Narrow" w:hAnsi="Arial Narrow"/>
                <w:b w:val="0"/>
                <w:szCs w:val="24"/>
              </w:rPr>
              <w:t xml:space="preserve">Participaciones Federales </w:t>
            </w:r>
            <w:r>
              <w:rPr>
                <w:rFonts w:ascii="Arial Narrow" w:hAnsi="Arial Narrow"/>
                <w:b w:val="0"/>
                <w:szCs w:val="24"/>
              </w:rPr>
              <w:t>a</w:t>
            </w:r>
            <w:r w:rsidRPr="009A306D">
              <w:rPr>
                <w:rFonts w:ascii="Arial Narrow" w:hAnsi="Arial Narrow"/>
                <w:b w:val="0"/>
                <w:szCs w:val="24"/>
              </w:rPr>
              <w:t xml:space="preserve"> Entidades Federativas.</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Fecha de inicio de la evaluación (dd/mm/aaaa)</w:t>
            </w:r>
          </w:p>
          <w:p w:rsidR="00445CB0" w:rsidRPr="00EC640E" w:rsidRDefault="00A86702" w:rsidP="00A86702">
            <w:pPr>
              <w:pStyle w:val="ListParagraph"/>
              <w:autoSpaceDE w:val="0"/>
              <w:autoSpaceDN w:val="0"/>
              <w:adjustRightInd w:val="0"/>
              <w:spacing w:before="120" w:after="120"/>
              <w:ind w:left="426"/>
              <w:contextualSpacing/>
              <w:jc w:val="both"/>
              <w:rPr>
                <w:rFonts w:ascii="Arial Narrow" w:hAnsi="Arial Narrow"/>
                <w:b w:val="0"/>
                <w:szCs w:val="24"/>
              </w:rPr>
            </w:pPr>
            <w:r>
              <w:rPr>
                <w:rFonts w:ascii="Arial Narrow" w:hAnsi="Arial Narrow"/>
                <w:b w:val="0"/>
                <w:szCs w:val="24"/>
              </w:rPr>
              <w:t>24</w:t>
            </w:r>
            <w:r w:rsidR="00445CB0" w:rsidRPr="00EC640E">
              <w:rPr>
                <w:rFonts w:ascii="Arial Narrow" w:hAnsi="Arial Narrow"/>
                <w:b w:val="0"/>
                <w:szCs w:val="24"/>
              </w:rPr>
              <w:t>/0</w:t>
            </w:r>
            <w:r>
              <w:rPr>
                <w:rFonts w:ascii="Arial Narrow" w:hAnsi="Arial Narrow"/>
                <w:b w:val="0"/>
                <w:szCs w:val="24"/>
              </w:rPr>
              <w:t>4</w:t>
            </w:r>
            <w:r w:rsidR="00445CB0" w:rsidRPr="00EC640E">
              <w:rPr>
                <w:rFonts w:ascii="Arial Narrow" w:hAnsi="Arial Narrow"/>
                <w:b w:val="0"/>
                <w:szCs w:val="24"/>
              </w:rPr>
              <w:t>/2018</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Fecha de término de la evaluación (dd/mm/aaaa)</w:t>
            </w:r>
          </w:p>
          <w:p w:rsidR="00445CB0" w:rsidRPr="00EC640E" w:rsidRDefault="00445CB0" w:rsidP="00A86702">
            <w:pPr>
              <w:pStyle w:val="ListParagraph"/>
              <w:autoSpaceDE w:val="0"/>
              <w:autoSpaceDN w:val="0"/>
              <w:adjustRightInd w:val="0"/>
              <w:spacing w:before="120" w:after="120"/>
              <w:ind w:left="426"/>
              <w:contextualSpacing/>
              <w:jc w:val="both"/>
              <w:rPr>
                <w:rFonts w:ascii="Arial Narrow" w:hAnsi="Arial Narrow"/>
                <w:b w:val="0"/>
                <w:szCs w:val="24"/>
              </w:rPr>
            </w:pPr>
            <w:r w:rsidRPr="00EC640E">
              <w:rPr>
                <w:rFonts w:ascii="Arial Narrow" w:hAnsi="Arial Narrow"/>
                <w:b w:val="0"/>
                <w:szCs w:val="24"/>
              </w:rPr>
              <w:t>2</w:t>
            </w:r>
            <w:r w:rsidR="00A86702">
              <w:rPr>
                <w:rFonts w:ascii="Arial Narrow" w:hAnsi="Arial Narrow"/>
                <w:b w:val="0"/>
                <w:szCs w:val="24"/>
              </w:rPr>
              <w:t>5</w:t>
            </w:r>
            <w:r w:rsidRPr="00EC640E">
              <w:rPr>
                <w:rFonts w:ascii="Arial Narrow" w:hAnsi="Arial Narrow"/>
                <w:b w:val="0"/>
                <w:szCs w:val="24"/>
              </w:rPr>
              <w:t>/0</w:t>
            </w:r>
            <w:r w:rsidR="00A86702">
              <w:rPr>
                <w:rFonts w:ascii="Arial Narrow" w:hAnsi="Arial Narrow"/>
                <w:b w:val="0"/>
                <w:szCs w:val="24"/>
              </w:rPr>
              <w:t>7</w:t>
            </w:r>
            <w:r w:rsidRPr="00EC640E">
              <w:rPr>
                <w:rFonts w:ascii="Arial Narrow" w:hAnsi="Arial Narrow"/>
                <w:b w:val="0"/>
                <w:szCs w:val="24"/>
              </w:rPr>
              <w:t>/2018</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Nombre de la persona responsable de darle seguimiento a la evaluación y nombre de la unidad administrativa a la que pertenece:</w:t>
            </w:r>
          </w:p>
          <w:p w:rsidR="00445CB0" w:rsidRPr="00EC640E" w:rsidRDefault="00445CB0" w:rsidP="00557BDB">
            <w:pPr>
              <w:autoSpaceDE w:val="0"/>
              <w:autoSpaceDN w:val="0"/>
              <w:adjustRightInd w:val="0"/>
              <w:spacing w:before="120" w:after="120"/>
              <w:ind w:left="426"/>
              <w:jc w:val="both"/>
              <w:rPr>
                <w:rFonts w:ascii="Arial Narrow" w:hAnsi="Arial Narrow" w:cs="Times New Roman"/>
                <w:b w:val="0"/>
                <w:sz w:val="24"/>
                <w:szCs w:val="24"/>
              </w:rPr>
            </w:pPr>
            <w:r w:rsidRPr="000131A6">
              <w:rPr>
                <w:rFonts w:ascii="Arial Narrow" w:hAnsi="Arial Narrow" w:cs="Times New Roman"/>
                <w:sz w:val="24"/>
                <w:szCs w:val="24"/>
              </w:rPr>
              <w:t xml:space="preserve">Nombre: </w:t>
            </w:r>
            <w:r w:rsidRPr="00EC640E">
              <w:rPr>
                <w:rFonts w:ascii="Arial Narrow" w:hAnsi="Arial Narrow" w:cs="Times New Roman"/>
                <w:b w:val="0"/>
                <w:sz w:val="24"/>
                <w:szCs w:val="24"/>
              </w:rPr>
              <w:t>Artemisa Mejía Bojórquez</w:t>
            </w:r>
            <w:r w:rsidR="005A24D0">
              <w:rPr>
                <w:rFonts w:ascii="Arial Narrow" w:hAnsi="Arial Narrow" w:cs="Times New Roman"/>
                <w:b w:val="0"/>
                <w:sz w:val="24"/>
                <w:szCs w:val="24"/>
              </w:rPr>
              <w:t>.</w:t>
            </w:r>
          </w:p>
          <w:p w:rsidR="00445CB0" w:rsidRPr="000131A6" w:rsidRDefault="00445CB0" w:rsidP="00557BDB">
            <w:pPr>
              <w:autoSpaceDE w:val="0"/>
              <w:autoSpaceDN w:val="0"/>
              <w:adjustRightInd w:val="0"/>
              <w:spacing w:before="120" w:after="120"/>
              <w:ind w:left="426"/>
              <w:jc w:val="both"/>
              <w:rPr>
                <w:rFonts w:ascii="Arial Narrow" w:hAnsi="Arial Narrow" w:cs="Times New Roman"/>
                <w:sz w:val="24"/>
                <w:szCs w:val="24"/>
              </w:rPr>
            </w:pPr>
            <w:r w:rsidRPr="000131A6">
              <w:rPr>
                <w:rFonts w:ascii="Arial Narrow" w:hAnsi="Arial Narrow" w:cs="Times New Roman"/>
                <w:sz w:val="24"/>
                <w:szCs w:val="24"/>
              </w:rPr>
              <w:t>Unidad Administrativa:</w:t>
            </w:r>
            <w:r>
              <w:rPr>
                <w:rFonts w:ascii="Arial Narrow" w:hAnsi="Arial Narrow" w:cs="Times New Roman"/>
                <w:sz w:val="24"/>
                <w:szCs w:val="24"/>
              </w:rPr>
              <w:t xml:space="preserve"> </w:t>
            </w:r>
            <w:r w:rsidRPr="00EC640E">
              <w:rPr>
                <w:rFonts w:ascii="Arial Narrow" w:hAnsi="Arial Narrow" w:cs="Times New Roman"/>
                <w:b w:val="0"/>
                <w:sz w:val="24"/>
                <w:szCs w:val="24"/>
              </w:rPr>
              <w:t>Dirección de Planeación y Evaluación, Secretaría de Planeación y Fianzas del Estado</w:t>
            </w:r>
            <w:r w:rsidR="005A24D0">
              <w:rPr>
                <w:rFonts w:ascii="Arial Narrow" w:hAnsi="Arial Narrow" w:cs="Times New Roman"/>
                <w:b w:val="0"/>
                <w:sz w:val="24"/>
                <w:szCs w:val="24"/>
              </w:rPr>
              <w:t>.</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Objetivo general de la evaluación:</w:t>
            </w:r>
          </w:p>
          <w:p w:rsidR="00445CB0" w:rsidRPr="00EC640E" w:rsidRDefault="00445CB0" w:rsidP="00557BDB">
            <w:pPr>
              <w:pStyle w:val="ListParagraph"/>
              <w:autoSpaceDE w:val="0"/>
              <w:autoSpaceDN w:val="0"/>
              <w:adjustRightInd w:val="0"/>
              <w:spacing w:before="120" w:after="120"/>
              <w:ind w:left="426"/>
              <w:contextualSpacing/>
              <w:jc w:val="both"/>
              <w:rPr>
                <w:rFonts w:ascii="Arial Narrow" w:hAnsi="Arial Narrow"/>
                <w:b w:val="0"/>
                <w:szCs w:val="24"/>
              </w:rPr>
            </w:pPr>
            <w:r w:rsidRPr="00EC640E">
              <w:rPr>
                <w:rFonts w:ascii="Arial Narrow" w:hAnsi="Arial Narrow"/>
                <w:b w:val="0"/>
                <w:szCs w:val="24"/>
              </w:rPr>
              <w:t>Contar con un</w:t>
            </w:r>
            <w:r w:rsidR="00A86702">
              <w:rPr>
                <w:rFonts w:ascii="Arial Narrow" w:hAnsi="Arial Narrow"/>
                <w:b w:val="0"/>
                <w:szCs w:val="24"/>
              </w:rPr>
              <w:t>a valoración del desempeño de la</w:t>
            </w:r>
            <w:r w:rsidRPr="00EC640E">
              <w:rPr>
                <w:rFonts w:ascii="Arial Narrow" w:hAnsi="Arial Narrow"/>
                <w:b w:val="0"/>
                <w:szCs w:val="24"/>
              </w:rPr>
              <w:t xml:space="preserve">s </w:t>
            </w:r>
            <w:r w:rsidR="00A86702" w:rsidRPr="00A86702">
              <w:rPr>
                <w:rFonts w:ascii="Arial Narrow" w:hAnsi="Arial Narrow"/>
                <w:b w:val="0"/>
                <w:szCs w:val="24"/>
              </w:rPr>
              <w:t>Participaciones Federales a Entidades Federativas 2017</w:t>
            </w:r>
            <w:r w:rsidR="00A86702">
              <w:rPr>
                <w:rFonts w:ascii="Arial Narrow" w:hAnsi="Arial Narrow"/>
                <w:b w:val="0"/>
                <w:szCs w:val="24"/>
              </w:rPr>
              <w:t xml:space="preserve">, </w:t>
            </w:r>
            <w:r w:rsidRPr="00EC640E">
              <w:rPr>
                <w:rFonts w:ascii="Arial Narrow" w:hAnsi="Arial Narrow"/>
                <w:b w:val="0"/>
                <w:szCs w:val="24"/>
              </w:rPr>
              <w:t>recursos del Gasto Federalizado, transferidos al Gobierno del Estado de Baja California,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especifica de desempeño, para contribuir a la toma de decisiones</w:t>
            </w:r>
            <w:r w:rsidR="005A24D0">
              <w:rPr>
                <w:rFonts w:ascii="Arial Narrow" w:hAnsi="Arial Narrow"/>
                <w:b w:val="0"/>
                <w:szCs w:val="24"/>
              </w:rPr>
              <w:t>.</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Objetivos específicos de la evaluación:</w:t>
            </w:r>
          </w:p>
          <w:p w:rsidR="00445CB0" w:rsidRPr="00EC640E" w:rsidRDefault="00445CB0" w:rsidP="00557BDB">
            <w:pPr>
              <w:autoSpaceDE w:val="0"/>
              <w:autoSpaceDN w:val="0"/>
              <w:adjustRightInd w:val="0"/>
              <w:spacing w:before="120" w:after="120"/>
              <w:ind w:left="851" w:right="115" w:hanging="284"/>
              <w:contextualSpacing/>
              <w:jc w:val="both"/>
              <w:rPr>
                <w:rFonts w:ascii="Arial Narrow" w:hAnsi="Arial Narrow"/>
                <w:b w:val="0"/>
                <w:szCs w:val="24"/>
              </w:rPr>
            </w:pPr>
            <w:r w:rsidRPr="00EC640E">
              <w:rPr>
                <w:rFonts w:ascii="Arial Narrow" w:hAnsi="Arial Narrow"/>
                <w:b w:val="0"/>
                <w:szCs w:val="24"/>
              </w:rPr>
              <w:t>1.</w:t>
            </w:r>
            <w:r w:rsidRPr="00EC640E">
              <w:rPr>
                <w:rFonts w:ascii="Arial Narrow" w:hAnsi="Arial Narrow"/>
                <w:b w:val="0"/>
                <w:szCs w:val="24"/>
              </w:rPr>
              <w:tab/>
              <w:t>Reportar los resultados y productos de los programas presupuestarios estatales y del gasto federalizado del Ejercicio Fiscal 2017, mediante el análisis de gabinete a través de las normas, información institucional, los indicadores, información programática y presupuestal.</w:t>
            </w:r>
          </w:p>
          <w:p w:rsidR="00445CB0" w:rsidRPr="00EC640E" w:rsidRDefault="00445CB0" w:rsidP="00557BDB">
            <w:pPr>
              <w:autoSpaceDE w:val="0"/>
              <w:autoSpaceDN w:val="0"/>
              <w:adjustRightInd w:val="0"/>
              <w:spacing w:before="120" w:after="120"/>
              <w:ind w:left="851" w:right="115" w:hanging="284"/>
              <w:contextualSpacing/>
              <w:jc w:val="both"/>
              <w:rPr>
                <w:rFonts w:ascii="Arial Narrow" w:hAnsi="Arial Narrow"/>
                <w:b w:val="0"/>
                <w:szCs w:val="24"/>
              </w:rPr>
            </w:pPr>
            <w:r w:rsidRPr="00EC640E">
              <w:rPr>
                <w:rFonts w:ascii="Arial Narrow" w:hAnsi="Arial Narrow"/>
                <w:b w:val="0"/>
                <w:szCs w:val="24"/>
              </w:rPr>
              <w:t>2.</w:t>
            </w:r>
            <w:r w:rsidRPr="00EC640E">
              <w:rPr>
                <w:rFonts w:ascii="Arial Narrow" w:hAnsi="Arial Narrow"/>
                <w:b w:val="0"/>
                <w:szCs w:val="24"/>
              </w:rPr>
              <w:tab/>
              <w:t>Identificar la alineación de los propósitos del programa con el problema que pretende resolver.</w:t>
            </w:r>
          </w:p>
          <w:p w:rsidR="00445CB0" w:rsidRPr="00EC640E" w:rsidRDefault="00445CB0" w:rsidP="00557BDB">
            <w:pPr>
              <w:autoSpaceDE w:val="0"/>
              <w:autoSpaceDN w:val="0"/>
              <w:adjustRightInd w:val="0"/>
              <w:spacing w:before="120" w:after="120"/>
              <w:ind w:left="851" w:right="115" w:hanging="284"/>
              <w:contextualSpacing/>
              <w:jc w:val="both"/>
              <w:rPr>
                <w:rFonts w:ascii="Arial Narrow" w:hAnsi="Arial Narrow"/>
                <w:b w:val="0"/>
                <w:szCs w:val="24"/>
              </w:rPr>
            </w:pPr>
            <w:r w:rsidRPr="00EC640E">
              <w:rPr>
                <w:rFonts w:ascii="Arial Narrow" w:hAnsi="Arial Narrow"/>
                <w:b w:val="0"/>
                <w:szCs w:val="24"/>
              </w:rPr>
              <w:t>3.</w:t>
            </w:r>
            <w:r w:rsidRPr="00EC640E">
              <w:rPr>
                <w:rFonts w:ascii="Arial Narrow" w:hAnsi="Arial Narrow"/>
                <w:b w:val="0"/>
                <w:szCs w:val="24"/>
              </w:rPr>
              <w:tab/>
              <w:t>Analizar la cobertura del programa presupuestario estatal o gasto federalizado, su población objetivo y atendida, distribución por municipio, condición social, etc., según corresponda.</w:t>
            </w:r>
          </w:p>
          <w:p w:rsidR="00445CB0" w:rsidRPr="00EC640E" w:rsidRDefault="00445CB0" w:rsidP="00557BDB">
            <w:pPr>
              <w:autoSpaceDE w:val="0"/>
              <w:autoSpaceDN w:val="0"/>
              <w:adjustRightInd w:val="0"/>
              <w:spacing w:before="120" w:after="120"/>
              <w:ind w:left="851" w:right="115" w:hanging="284"/>
              <w:contextualSpacing/>
              <w:jc w:val="both"/>
              <w:rPr>
                <w:rFonts w:ascii="Arial Narrow" w:hAnsi="Arial Narrow"/>
                <w:b w:val="0"/>
                <w:szCs w:val="24"/>
              </w:rPr>
            </w:pPr>
            <w:r w:rsidRPr="00EC640E">
              <w:rPr>
                <w:rFonts w:ascii="Arial Narrow" w:hAnsi="Arial Narrow"/>
                <w:b w:val="0"/>
                <w:szCs w:val="24"/>
              </w:rPr>
              <w:t>4.</w:t>
            </w:r>
            <w:r w:rsidRPr="00EC640E">
              <w:rPr>
                <w:rFonts w:ascii="Arial Narrow" w:hAnsi="Arial Narrow"/>
                <w:b w:val="0"/>
                <w:szCs w:val="24"/>
              </w:rPr>
              <w:tab/>
              <w:t>Identificar los principales resultados del ejercicio presupuestal, el comportamiento del presupuesto asignado, modificado y ejercido, analizando los aspectos más relevantes del ejercicio del gasto.</w:t>
            </w:r>
          </w:p>
          <w:p w:rsidR="00445CB0" w:rsidRPr="00EC640E" w:rsidRDefault="00445CB0" w:rsidP="00557BDB">
            <w:pPr>
              <w:autoSpaceDE w:val="0"/>
              <w:autoSpaceDN w:val="0"/>
              <w:adjustRightInd w:val="0"/>
              <w:spacing w:before="120" w:after="120"/>
              <w:ind w:left="851" w:right="115" w:hanging="284"/>
              <w:contextualSpacing/>
              <w:jc w:val="both"/>
              <w:rPr>
                <w:rFonts w:ascii="Arial Narrow" w:hAnsi="Arial Narrow"/>
                <w:b w:val="0"/>
                <w:szCs w:val="24"/>
              </w:rPr>
            </w:pPr>
            <w:r w:rsidRPr="00EC640E">
              <w:rPr>
                <w:rFonts w:ascii="Arial Narrow" w:hAnsi="Arial Narrow"/>
                <w:b w:val="0"/>
                <w:szCs w:val="24"/>
              </w:rPr>
              <w:t>5.</w:t>
            </w:r>
            <w:r w:rsidRPr="00EC640E">
              <w:rPr>
                <w:rFonts w:ascii="Arial Narrow" w:hAnsi="Arial Narrow"/>
                <w:b w:val="0"/>
                <w:szCs w:val="24"/>
              </w:rPr>
              <w:tab/>
              <w:t>Analizar la Matriz de Indicadores de Resultados (de contar con ella), así como los indicadores, sus resultados en 2017, y el avance en relación con las metas establecidas, incluyendo información sobre años anteriores (3 años) si existe información disponible al respecto.</w:t>
            </w:r>
          </w:p>
          <w:p w:rsidR="00445CB0" w:rsidRPr="00EC640E" w:rsidRDefault="00445CB0" w:rsidP="00557BDB">
            <w:pPr>
              <w:autoSpaceDE w:val="0"/>
              <w:autoSpaceDN w:val="0"/>
              <w:adjustRightInd w:val="0"/>
              <w:spacing w:before="120" w:after="120"/>
              <w:ind w:left="851" w:right="115" w:hanging="284"/>
              <w:contextualSpacing/>
              <w:jc w:val="both"/>
              <w:rPr>
                <w:rFonts w:ascii="Arial Narrow" w:hAnsi="Arial Narrow"/>
                <w:b w:val="0"/>
                <w:szCs w:val="24"/>
              </w:rPr>
            </w:pPr>
            <w:r w:rsidRPr="00EC640E">
              <w:rPr>
                <w:rFonts w:ascii="Arial Narrow" w:hAnsi="Arial Narrow"/>
                <w:b w:val="0"/>
                <w:szCs w:val="24"/>
              </w:rPr>
              <w:t>6.</w:t>
            </w:r>
            <w:r w:rsidRPr="00EC640E">
              <w:rPr>
                <w:rFonts w:ascii="Arial Narrow" w:hAnsi="Arial Narrow"/>
                <w:b w:val="0"/>
                <w:szCs w:val="24"/>
              </w:rPr>
              <w:tab/>
              <w:t>Identificar los principales aspectos susceptibles de mejora que han sido atendidos derivados de evaluaciones externas del ejercicio inmediato anterior, exponiendo los avances más importantes al respecto en caso de que el programa o recurso haya sido evaluado anteriormente.</w:t>
            </w:r>
          </w:p>
          <w:p w:rsidR="00445CB0" w:rsidRPr="00EC640E" w:rsidRDefault="00445CB0" w:rsidP="00557BDB">
            <w:pPr>
              <w:autoSpaceDE w:val="0"/>
              <w:autoSpaceDN w:val="0"/>
              <w:adjustRightInd w:val="0"/>
              <w:spacing w:before="120" w:after="120"/>
              <w:ind w:left="851" w:right="115" w:hanging="284"/>
              <w:contextualSpacing/>
              <w:jc w:val="both"/>
              <w:rPr>
                <w:rFonts w:ascii="Arial Narrow" w:hAnsi="Arial Narrow"/>
                <w:b w:val="0"/>
                <w:szCs w:val="24"/>
              </w:rPr>
            </w:pPr>
            <w:r w:rsidRPr="00EC640E">
              <w:rPr>
                <w:rFonts w:ascii="Arial Narrow" w:hAnsi="Arial Narrow"/>
                <w:b w:val="0"/>
                <w:szCs w:val="24"/>
              </w:rPr>
              <w:t>7.</w:t>
            </w:r>
            <w:r w:rsidRPr="00EC640E">
              <w:rPr>
                <w:rFonts w:ascii="Arial Narrow" w:hAnsi="Arial Narrow"/>
                <w:b w:val="0"/>
                <w:szCs w:val="24"/>
              </w:rPr>
              <w:tab/>
              <w:t>Identificar las fortalezas, debilidades, oportunidades y amenazas del desempeño del programa presupuestario estatal o gasto federalizado analizado.</w:t>
            </w:r>
          </w:p>
          <w:p w:rsidR="00445CB0" w:rsidRPr="00EC640E" w:rsidRDefault="00445CB0" w:rsidP="00557BDB">
            <w:pPr>
              <w:autoSpaceDE w:val="0"/>
              <w:autoSpaceDN w:val="0"/>
              <w:adjustRightInd w:val="0"/>
              <w:spacing w:before="120" w:after="120"/>
              <w:ind w:left="851" w:right="115" w:hanging="284"/>
              <w:contextualSpacing/>
              <w:jc w:val="both"/>
              <w:rPr>
                <w:rFonts w:ascii="Arial Narrow" w:hAnsi="Arial Narrow"/>
                <w:szCs w:val="24"/>
              </w:rPr>
            </w:pPr>
            <w:r w:rsidRPr="00EC640E">
              <w:rPr>
                <w:rFonts w:ascii="Arial Narrow" w:hAnsi="Arial Narrow"/>
                <w:b w:val="0"/>
                <w:szCs w:val="24"/>
              </w:rPr>
              <w:t>8.</w:t>
            </w:r>
            <w:r w:rsidRPr="00EC640E">
              <w:rPr>
                <w:rFonts w:ascii="Arial Narrow" w:hAnsi="Arial Narrow"/>
                <w:b w:val="0"/>
                <w:szCs w:val="24"/>
              </w:rPr>
              <w:tab/>
              <w:t>Identificar las principales recomendaciones para mejorar el desempeño del programa presupuestario estatal o gasto federalizado evaluado, atendiendo a su relevancia, pertinencia y factibilidad para ser atendida en el corto plazo.</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E0113E"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Metodología utilizada</w:t>
            </w:r>
            <w:r w:rsidR="00445CB0" w:rsidRPr="000131A6">
              <w:rPr>
                <w:rFonts w:ascii="Arial Narrow" w:hAnsi="Arial Narrow"/>
                <w:szCs w:val="24"/>
              </w:rPr>
              <w:t xml:space="preserve"> de la evaluación:</w:t>
            </w:r>
          </w:p>
          <w:p w:rsidR="00445CB0" w:rsidRPr="000131A6" w:rsidRDefault="00445CB0" w:rsidP="00557BDB">
            <w:pPr>
              <w:autoSpaceDE w:val="0"/>
              <w:autoSpaceDN w:val="0"/>
              <w:adjustRightInd w:val="0"/>
              <w:spacing w:before="120" w:after="120"/>
              <w:ind w:left="426"/>
              <w:jc w:val="both"/>
              <w:rPr>
                <w:rFonts w:ascii="Arial Narrow" w:hAnsi="Arial Narrow" w:cs="Times New Roman"/>
                <w:sz w:val="24"/>
                <w:szCs w:val="24"/>
              </w:rPr>
            </w:pPr>
            <w:r w:rsidRPr="000131A6">
              <w:rPr>
                <w:rFonts w:ascii="Arial Narrow" w:hAnsi="Arial Narrow" w:cs="Times New Roman"/>
                <w:sz w:val="24"/>
                <w:szCs w:val="24"/>
              </w:rPr>
              <w:t>Instrumentos de recolección de información:</w:t>
            </w:r>
          </w:p>
          <w:p w:rsidR="00445CB0" w:rsidRPr="000131A6" w:rsidRDefault="00445CB0" w:rsidP="00557BDB">
            <w:pPr>
              <w:autoSpaceDE w:val="0"/>
              <w:autoSpaceDN w:val="0"/>
              <w:adjustRightInd w:val="0"/>
              <w:spacing w:before="120" w:after="120"/>
              <w:ind w:left="426"/>
              <w:jc w:val="both"/>
              <w:rPr>
                <w:rFonts w:ascii="Arial Narrow" w:hAnsi="Arial Narrow" w:cs="Times New Roman"/>
                <w:sz w:val="24"/>
                <w:szCs w:val="24"/>
              </w:rPr>
            </w:pPr>
            <w:r w:rsidRPr="000131A6">
              <w:rPr>
                <w:rFonts w:ascii="Arial Narrow" w:hAnsi="Arial Narrow" w:cs="Times New Roman"/>
                <w:sz w:val="24"/>
                <w:szCs w:val="24"/>
              </w:rPr>
              <w:t>Cuestionarios_</w:t>
            </w:r>
            <w:r>
              <w:rPr>
                <w:rFonts w:ascii="Arial Narrow" w:hAnsi="Arial Narrow" w:cs="Times New Roman"/>
                <w:sz w:val="24"/>
                <w:szCs w:val="24"/>
              </w:rPr>
              <w:t>__</w:t>
            </w:r>
            <w:r w:rsidRPr="000131A6">
              <w:rPr>
                <w:rFonts w:ascii="Arial Narrow" w:hAnsi="Arial Narrow" w:cs="Times New Roman"/>
                <w:sz w:val="24"/>
                <w:szCs w:val="24"/>
              </w:rPr>
              <w:t>__ Entrevistas_</w:t>
            </w:r>
            <w:r>
              <w:rPr>
                <w:rFonts w:ascii="Arial Narrow" w:hAnsi="Arial Narrow" w:cs="Times New Roman"/>
                <w:sz w:val="24"/>
                <w:szCs w:val="24"/>
              </w:rPr>
              <w:t>___X__</w:t>
            </w:r>
            <w:r w:rsidRPr="000131A6">
              <w:rPr>
                <w:rFonts w:ascii="Arial Narrow" w:hAnsi="Arial Narrow" w:cs="Times New Roman"/>
                <w:sz w:val="24"/>
                <w:szCs w:val="24"/>
              </w:rPr>
              <w:t>_ Formatos</w:t>
            </w:r>
            <w:r>
              <w:rPr>
                <w:rFonts w:ascii="Arial Narrow" w:hAnsi="Arial Narrow" w:cs="Times New Roman"/>
                <w:sz w:val="24"/>
                <w:szCs w:val="24"/>
              </w:rPr>
              <w:t>___</w:t>
            </w:r>
            <w:r w:rsidRPr="000131A6">
              <w:rPr>
                <w:rFonts w:ascii="Arial Narrow" w:hAnsi="Arial Narrow" w:cs="Times New Roman"/>
                <w:sz w:val="24"/>
                <w:szCs w:val="24"/>
              </w:rPr>
              <w:t>_X__ Otros</w:t>
            </w:r>
            <w:r>
              <w:rPr>
                <w:rFonts w:ascii="Arial Narrow" w:hAnsi="Arial Narrow" w:cs="Times New Roman"/>
                <w:sz w:val="24"/>
                <w:szCs w:val="24"/>
              </w:rPr>
              <w:t xml:space="preserve"> ___</w:t>
            </w:r>
            <w:r w:rsidRPr="000131A6">
              <w:rPr>
                <w:rFonts w:ascii="Arial Narrow" w:hAnsi="Arial Narrow" w:cs="Times New Roman"/>
                <w:sz w:val="24"/>
                <w:szCs w:val="24"/>
              </w:rPr>
              <w:t>_</w:t>
            </w:r>
            <w:r>
              <w:rPr>
                <w:rFonts w:ascii="Arial Narrow" w:hAnsi="Arial Narrow" w:cs="Times New Roman"/>
                <w:sz w:val="24"/>
                <w:szCs w:val="24"/>
              </w:rPr>
              <w:t>X</w:t>
            </w:r>
            <w:r w:rsidRPr="000131A6">
              <w:rPr>
                <w:rFonts w:ascii="Arial Narrow" w:hAnsi="Arial Narrow" w:cs="Times New Roman"/>
                <w:sz w:val="24"/>
                <w:szCs w:val="24"/>
              </w:rPr>
              <w:t>_</w:t>
            </w:r>
            <w:r>
              <w:rPr>
                <w:rFonts w:ascii="Arial Narrow" w:hAnsi="Arial Narrow" w:cs="Times New Roman"/>
                <w:sz w:val="24"/>
                <w:szCs w:val="24"/>
              </w:rPr>
              <w:t>__</w:t>
            </w:r>
            <w:r w:rsidRPr="000131A6">
              <w:rPr>
                <w:rFonts w:ascii="Arial Narrow" w:hAnsi="Arial Narrow" w:cs="Times New Roman"/>
                <w:sz w:val="24"/>
                <w:szCs w:val="24"/>
              </w:rPr>
              <w:t xml:space="preserve">_ Especifique: </w:t>
            </w:r>
            <w:r>
              <w:rPr>
                <w:rFonts w:ascii="Arial Narrow" w:hAnsi="Arial Narrow" w:cs="Times New Roman"/>
                <w:sz w:val="24"/>
                <w:szCs w:val="24"/>
              </w:rPr>
              <w:t>bases de datos específicas del sistema Transparencia Presupuestaria</w:t>
            </w:r>
            <w:r w:rsidRPr="000131A6">
              <w:rPr>
                <w:rFonts w:ascii="Arial Narrow" w:hAnsi="Arial Narrow" w:cs="Times New Roman"/>
                <w:sz w:val="24"/>
                <w:szCs w:val="24"/>
              </w:rPr>
              <w:t>_</w:t>
            </w:r>
          </w:p>
          <w:p w:rsidR="00445CB0" w:rsidRDefault="00445CB0" w:rsidP="00557BDB">
            <w:pPr>
              <w:autoSpaceDE w:val="0"/>
              <w:autoSpaceDN w:val="0"/>
              <w:adjustRightInd w:val="0"/>
              <w:spacing w:before="120" w:after="120"/>
              <w:ind w:left="426"/>
              <w:jc w:val="both"/>
              <w:rPr>
                <w:rFonts w:ascii="Arial Narrow" w:hAnsi="Arial Narrow" w:cs="Times New Roman"/>
                <w:sz w:val="24"/>
                <w:szCs w:val="24"/>
              </w:rPr>
            </w:pPr>
            <w:r w:rsidRPr="000131A6">
              <w:rPr>
                <w:rFonts w:ascii="Arial Narrow" w:hAnsi="Arial Narrow" w:cs="Times New Roman"/>
                <w:sz w:val="24"/>
                <w:szCs w:val="24"/>
              </w:rPr>
              <w:t>Descripción de las técnicas y modelos utilizados:</w:t>
            </w:r>
          </w:p>
          <w:p w:rsidR="00445CB0" w:rsidRDefault="00445CB0" w:rsidP="00557BDB">
            <w:pPr>
              <w:pStyle w:val="ListParagraph"/>
              <w:autoSpaceDE w:val="0"/>
              <w:autoSpaceDN w:val="0"/>
              <w:adjustRightInd w:val="0"/>
              <w:spacing w:before="120" w:after="120"/>
              <w:ind w:left="426"/>
              <w:contextualSpacing/>
              <w:jc w:val="both"/>
              <w:rPr>
                <w:rFonts w:ascii="Arial Narrow" w:hAnsi="Arial Narrow"/>
                <w:b w:val="0"/>
                <w:szCs w:val="24"/>
              </w:rPr>
            </w:pPr>
            <w:r w:rsidRPr="00443F47">
              <w:rPr>
                <w:rFonts w:ascii="Arial Narrow" w:hAnsi="Arial Narrow"/>
                <w:b w:val="0"/>
                <w:szCs w:val="24"/>
              </w:rPr>
              <w:t>Análisis de gabinete con base en información proporcionada por las instancias responsables de operar el programa presupuestario estatal o del gasto federalizado, así como información adicional que la instancia evaluadora considere necesaria para complementar dicho análisis. Se entiende por análisis de gabinete al conjunto de actividades que involucran el acopio, la organización y la valoración de información concentrada en registros administrativos, bases de datos, evaluaciones internas y/o externas, así como documentación pública. Sin embargo, de acuerdo con las necesidades de información y tomando en cuenta la forma de operar los programas presupuestarios estatales y el gasto federalizado, se podrán realizar entrevistas con los responsables de la implementación de estos para fortalecer la evaluación</w:t>
            </w:r>
            <w:r>
              <w:rPr>
                <w:rFonts w:ascii="Arial Narrow" w:hAnsi="Arial Narrow"/>
                <w:b w:val="0"/>
                <w:szCs w:val="24"/>
              </w:rPr>
              <w:t>.</w:t>
            </w:r>
          </w:p>
          <w:p w:rsidR="00445CB0" w:rsidRDefault="00445CB0" w:rsidP="00557BDB">
            <w:pPr>
              <w:pStyle w:val="ListParagraph"/>
              <w:autoSpaceDE w:val="0"/>
              <w:autoSpaceDN w:val="0"/>
              <w:adjustRightInd w:val="0"/>
              <w:spacing w:before="120" w:after="120"/>
              <w:ind w:left="426"/>
              <w:contextualSpacing/>
              <w:jc w:val="both"/>
              <w:rPr>
                <w:rFonts w:ascii="Arial Narrow" w:hAnsi="Arial Narrow"/>
                <w:b w:val="0"/>
                <w:szCs w:val="24"/>
              </w:rPr>
            </w:pPr>
          </w:p>
          <w:p w:rsidR="00445CB0" w:rsidRPr="00443F47" w:rsidRDefault="00E0113E" w:rsidP="00557BDB">
            <w:pPr>
              <w:pStyle w:val="ListParagraph"/>
              <w:autoSpaceDE w:val="0"/>
              <w:autoSpaceDN w:val="0"/>
              <w:adjustRightInd w:val="0"/>
              <w:spacing w:before="120" w:after="120"/>
              <w:ind w:left="426"/>
              <w:contextualSpacing/>
              <w:jc w:val="both"/>
              <w:rPr>
                <w:rFonts w:ascii="Arial Narrow" w:hAnsi="Arial Narrow"/>
                <w:b w:val="0"/>
                <w:szCs w:val="24"/>
              </w:rPr>
            </w:pPr>
            <w:r>
              <w:rPr>
                <w:rFonts w:ascii="Arial Narrow" w:hAnsi="Arial Narrow"/>
                <w:b w:val="0"/>
                <w:szCs w:val="24"/>
              </w:rPr>
              <w:t>L</w:t>
            </w:r>
            <w:r w:rsidRPr="00443F47">
              <w:rPr>
                <w:rFonts w:ascii="Arial Narrow" w:hAnsi="Arial Narrow"/>
                <w:b w:val="0"/>
                <w:szCs w:val="24"/>
              </w:rPr>
              <w:t>os documentos</w:t>
            </w:r>
            <w:r>
              <w:rPr>
                <w:rFonts w:ascii="Arial Narrow" w:hAnsi="Arial Narrow"/>
                <w:b w:val="0"/>
                <w:szCs w:val="24"/>
              </w:rPr>
              <w:t xml:space="preserve"> que considerar</w:t>
            </w:r>
            <w:r w:rsidR="00445CB0" w:rsidRPr="00443F47">
              <w:rPr>
                <w:rFonts w:ascii="Arial Narrow" w:hAnsi="Arial Narrow"/>
                <w:b w:val="0"/>
                <w:szCs w:val="24"/>
              </w:rPr>
              <w:t xml:space="preserve"> como mínimo:</w:t>
            </w:r>
          </w:p>
          <w:p w:rsidR="00445CB0" w:rsidRPr="00443F47" w:rsidRDefault="00445CB0" w:rsidP="00557BDB">
            <w:pPr>
              <w:pStyle w:val="ListParagraph"/>
              <w:autoSpaceDE w:val="0"/>
              <w:autoSpaceDN w:val="0"/>
              <w:adjustRightInd w:val="0"/>
              <w:spacing w:before="120" w:after="120"/>
              <w:ind w:left="426"/>
              <w:contextualSpacing/>
              <w:jc w:val="both"/>
              <w:rPr>
                <w:rFonts w:ascii="Arial Narrow" w:hAnsi="Arial Narrow"/>
                <w:b w:val="0"/>
                <w:szCs w:val="24"/>
              </w:rPr>
            </w:pPr>
          </w:p>
          <w:p w:rsidR="00445CB0" w:rsidRPr="00443F47" w:rsidRDefault="00445CB0" w:rsidP="00557BDB">
            <w:pPr>
              <w:pStyle w:val="ListParagraph"/>
              <w:autoSpaceDE w:val="0"/>
              <w:autoSpaceDN w:val="0"/>
              <w:adjustRightInd w:val="0"/>
              <w:spacing w:before="120" w:after="120"/>
              <w:ind w:left="1134" w:hanging="283"/>
              <w:contextualSpacing/>
              <w:jc w:val="both"/>
              <w:rPr>
                <w:rFonts w:ascii="Arial Narrow" w:hAnsi="Arial Narrow"/>
                <w:b w:val="0"/>
                <w:szCs w:val="24"/>
              </w:rPr>
            </w:pPr>
            <w:r w:rsidRPr="00443F47">
              <w:rPr>
                <w:rFonts w:ascii="Arial Narrow" w:hAnsi="Arial Narrow"/>
                <w:b w:val="0"/>
                <w:szCs w:val="24"/>
              </w:rPr>
              <w:t>•</w:t>
            </w:r>
            <w:r w:rsidRPr="00443F47">
              <w:rPr>
                <w:rFonts w:ascii="Arial Narrow" w:hAnsi="Arial Narrow"/>
                <w:b w:val="0"/>
                <w:szCs w:val="24"/>
              </w:rPr>
              <w:tab/>
              <w:t>La normatividad aplicable (leyes, reglamentos, reglas de operación, lineamientos, manuales, entre otros).</w:t>
            </w:r>
          </w:p>
          <w:p w:rsidR="00445CB0" w:rsidRPr="00443F47" w:rsidRDefault="00445CB0" w:rsidP="00557BDB">
            <w:pPr>
              <w:pStyle w:val="ListParagraph"/>
              <w:autoSpaceDE w:val="0"/>
              <w:autoSpaceDN w:val="0"/>
              <w:adjustRightInd w:val="0"/>
              <w:spacing w:before="120" w:after="120"/>
              <w:ind w:left="1134" w:hanging="283"/>
              <w:contextualSpacing/>
              <w:jc w:val="both"/>
              <w:rPr>
                <w:rFonts w:ascii="Arial Narrow" w:hAnsi="Arial Narrow"/>
                <w:b w:val="0"/>
                <w:szCs w:val="24"/>
              </w:rPr>
            </w:pPr>
            <w:r w:rsidRPr="00443F47">
              <w:rPr>
                <w:rFonts w:ascii="Arial Narrow" w:hAnsi="Arial Narrow"/>
                <w:b w:val="0"/>
                <w:szCs w:val="24"/>
              </w:rPr>
              <w:t>•</w:t>
            </w:r>
            <w:r w:rsidRPr="00443F47">
              <w:rPr>
                <w:rFonts w:ascii="Arial Narrow" w:hAnsi="Arial Narrow"/>
                <w:b w:val="0"/>
                <w:szCs w:val="24"/>
              </w:rPr>
              <w:tab/>
              <w:t>Diagnóstico y estudios de la problemática que el Programa pretende atender.</w:t>
            </w:r>
          </w:p>
          <w:p w:rsidR="00445CB0" w:rsidRPr="00443F47" w:rsidRDefault="00445CB0" w:rsidP="00557BDB">
            <w:pPr>
              <w:pStyle w:val="ListParagraph"/>
              <w:autoSpaceDE w:val="0"/>
              <w:autoSpaceDN w:val="0"/>
              <w:adjustRightInd w:val="0"/>
              <w:spacing w:before="120" w:after="120"/>
              <w:ind w:left="1134" w:hanging="283"/>
              <w:contextualSpacing/>
              <w:jc w:val="both"/>
              <w:rPr>
                <w:rFonts w:ascii="Arial Narrow" w:hAnsi="Arial Narrow"/>
                <w:b w:val="0"/>
                <w:szCs w:val="24"/>
              </w:rPr>
            </w:pPr>
            <w:r w:rsidRPr="00443F47">
              <w:rPr>
                <w:rFonts w:ascii="Arial Narrow" w:hAnsi="Arial Narrow"/>
                <w:b w:val="0"/>
                <w:szCs w:val="24"/>
              </w:rPr>
              <w:t>•</w:t>
            </w:r>
            <w:r w:rsidRPr="00443F47">
              <w:rPr>
                <w:rFonts w:ascii="Arial Narrow" w:hAnsi="Arial Narrow"/>
                <w:b w:val="0"/>
                <w:szCs w:val="24"/>
              </w:rPr>
              <w:tab/>
              <w:t>Matriz de Indicadores para Resultados, del ejercicio fiscal a ser evaluado.</w:t>
            </w:r>
          </w:p>
          <w:p w:rsidR="00445CB0" w:rsidRPr="00443F47" w:rsidRDefault="00445CB0" w:rsidP="00557BDB">
            <w:pPr>
              <w:pStyle w:val="ListParagraph"/>
              <w:autoSpaceDE w:val="0"/>
              <w:autoSpaceDN w:val="0"/>
              <w:adjustRightInd w:val="0"/>
              <w:spacing w:before="120" w:after="120"/>
              <w:ind w:left="1134" w:hanging="283"/>
              <w:contextualSpacing/>
              <w:jc w:val="both"/>
              <w:rPr>
                <w:rFonts w:ascii="Arial Narrow" w:hAnsi="Arial Narrow"/>
                <w:b w:val="0"/>
                <w:szCs w:val="24"/>
              </w:rPr>
            </w:pPr>
            <w:r w:rsidRPr="00443F47">
              <w:rPr>
                <w:rFonts w:ascii="Arial Narrow" w:hAnsi="Arial Narrow"/>
                <w:b w:val="0"/>
                <w:szCs w:val="24"/>
              </w:rPr>
              <w:t>•</w:t>
            </w:r>
            <w:r w:rsidRPr="00443F47">
              <w:rPr>
                <w:rFonts w:ascii="Arial Narrow" w:hAnsi="Arial Narrow"/>
                <w:b w:val="0"/>
                <w:szCs w:val="24"/>
              </w:rPr>
              <w:tab/>
              <w:t>Documentos asociados al diseño, donde se mencione el fin, propósito, metas, acciones, población potencial, objetivo y atendida, problemática que atiende, etc.</w:t>
            </w:r>
          </w:p>
          <w:p w:rsidR="00445CB0" w:rsidRPr="00443F47" w:rsidRDefault="00445CB0" w:rsidP="00557BDB">
            <w:pPr>
              <w:pStyle w:val="ListParagraph"/>
              <w:autoSpaceDE w:val="0"/>
              <w:autoSpaceDN w:val="0"/>
              <w:adjustRightInd w:val="0"/>
              <w:spacing w:before="120" w:after="120"/>
              <w:ind w:left="1134" w:hanging="283"/>
              <w:contextualSpacing/>
              <w:jc w:val="both"/>
              <w:rPr>
                <w:rFonts w:ascii="Arial Narrow" w:hAnsi="Arial Narrow"/>
                <w:b w:val="0"/>
                <w:szCs w:val="24"/>
              </w:rPr>
            </w:pPr>
            <w:r w:rsidRPr="00443F47">
              <w:rPr>
                <w:rFonts w:ascii="Arial Narrow" w:hAnsi="Arial Narrow"/>
                <w:b w:val="0"/>
                <w:szCs w:val="24"/>
              </w:rPr>
              <w:t>•</w:t>
            </w:r>
            <w:r w:rsidRPr="00443F47">
              <w:rPr>
                <w:rFonts w:ascii="Arial Narrow" w:hAnsi="Arial Narrow"/>
                <w:b w:val="0"/>
                <w:szCs w:val="24"/>
              </w:rPr>
              <w:tab/>
              <w:t>Propósitos, metas, acciones y demás información programática contenida en el Programa Operativo Anual.</w:t>
            </w:r>
          </w:p>
          <w:p w:rsidR="00445CB0" w:rsidRPr="00443F47" w:rsidRDefault="00445CB0" w:rsidP="00557BDB">
            <w:pPr>
              <w:pStyle w:val="ListParagraph"/>
              <w:autoSpaceDE w:val="0"/>
              <w:autoSpaceDN w:val="0"/>
              <w:adjustRightInd w:val="0"/>
              <w:spacing w:before="120" w:after="120"/>
              <w:ind w:left="1134" w:hanging="283"/>
              <w:contextualSpacing/>
              <w:jc w:val="both"/>
              <w:rPr>
                <w:rFonts w:ascii="Arial Narrow" w:hAnsi="Arial Narrow"/>
                <w:b w:val="0"/>
                <w:szCs w:val="24"/>
              </w:rPr>
            </w:pPr>
            <w:r w:rsidRPr="00443F47">
              <w:rPr>
                <w:rFonts w:ascii="Arial Narrow" w:hAnsi="Arial Narrow"/>
                <w:b w:val="0"/>
                <w:szCs w:val="24"/>
              </w:rPr>
              <w:t>•</w:t>
            </w:r>
            <w:r w:rsidRPr="00443F47">
              <w:rPr>
                <w:rFonts w:ascii="Arial Narrow" w:hAnsi="Arial Narrow"/>
                <w:b w:val="0"/>
                <w:szCs w:val="24"/>
              </w:rPr>
              <w:tab/>
              <w:t>Indicadores de desempeño registrados en el Sistema Estatal de Indicadores.</w:t>
            </w:r>
          </w:p>
          <w:p w:rsidR="00445CB0" w:rsidRPr="00443F47" w:rsidRDefault="00445CB0" w:rsidP="00557BDB">
            <w:pPr>
              <w:pStyle w:val="ListParagraph"/>
              <w:autoSpaceDE w:val="0"/>
              <w:autoSpaceDN w:val="0"/>
              <w:adjustRightInd w:val="0"/>
              <w:spacing w:before="120" w:after="120"/>
              <w:ind w:left="1134" w:hanging="283"/>
              <w:contextualSpacing/>
              <w:jc w:val="both"/>
              <w:rPr>
                <w:rFonts w:ascii="Arial Narrow" w:hAnsi="Arial Narrow"/>
                <w:b w:val="0"/>
                <w:szCs w:val="24"/>
              </w:rPr>
            </w:pPr>
            <w:r w:rsidRPr="00443F47">
              <w:rPr>
                <w:rFonts w:ascii="Arial Narrow" w:hAnsi="Arial Narrow"/>
                <w:b w:val="0"/>
                <w:szCs w:val="24"/>
              </w:rPr>
              <w:t>•</w:t>
            </w:r>
            <w:r w:rsidRPr="00443F47">
              <w:rPr>
                <w:rFonts w:ascii="Arial Narrow" w:hAnsi="Arial Narrow"/>
                <w:b w:val="0"/>
                <w:szCs w:val="24"/>
              </w:rPr>
              <w:tab/>
              <w:t>Evaluaciones anteriores del programa.</w:t>
            </w:r>
          </w:p>
          <w:p w:rsidR="00445CB0" w:rsidRPr="00AB77F5" w:rsidRDefault="00445CB0" w:rsidP="00557BDB">
            <w:pPr>
              <w:pStyle w:val="ListParagraph"/>
              <w:autoSpaceDE w:val="0"/>
              <w:autoSpaceDN w:val="0"/>
              <w:adjustRightInd w:val="0"/>
              <w:spacing w:before="120" w:after="120"/>
              <w:ind w:left="1134" w:hanging="283"/>
              <w:contextualSpacing/>
              <w:jc w:val="both"/>
              <w:rPr>
                <w:rFonts w:ascii="Arial Narrow" w:hAnsi="Arial Narrow"/>
                <w:b w:val="0"/>
                <w:szCs w:val="24"/>
              </w:rPr>
            </w:pPr>
            <w:r w:rsidRPr="00443F47">
              <w:rPr>
                <w:rFonts w:ascii="Arial Narrow" w:hAnsi="Arial Narrow"/>
                <w:b w:val="0"/>
                <w:szCs w:val="24"/>
              </w:rPr>
              <w:t>•</w:t>
            </w:r>
            <w:r w:rsidRPr="00443F47">
              <w:rPr>
                <w:rFonts w:ascii="Arial Narrow" w:hAnsi="Arial Narrow"/>
                <w:b w:val="0"/>
                <w:szCs w:val="24"/>
              </w:rPr>
              <w:tab/>
              <w:t>Documentos de trabajo, institucionales e informes de avances de los Aspectos Susceptibles de Mejora.</w:t>
            </w:r>
          </w:p>
        </w:tc>
      </w:tr>
    </w:tbl>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p w:rsidR="00445CB0" w:rsidRDefault="00445CB0" w:rsidP="00445CB0">
      <w:pPr>
        <w:autoSpaceDE w:val="0"/>
        <w:autoSpaceDN w:val="0"/>
        <w:adjustRightInd w:val="0"/>
        <w:spacing w:after="0" w:line="240" w:lineRule="auto"/>
        <w:jc w:val="both"/>
        <w:rPr>
          <w:rFonts w:ascii="Arial Narrow" w:hAnsi="Arial Narrow" w:cs="Times New Roman"/>
          <w:sz w:val="24"/>
          <w:szCs w:val="24"/>
        </w:rPr>
      </w:pPr>
    </w:p>
    <w:p w:rsidR="005A24D0" w:rsidRDefault="005A24D0" w:rsidP="00445CB0">
      <w:pPr>
        <w:autoSpaceDE w:val="0"/>
        <w:autoSpaceDN w:val="0"/>
        <w:adjustRightInd w:val="0"/>
        <w:spacing w:after="0" w:line="240" w:lineRule="auto"/>
        <w:jc w:val="both"/>
        <w:rPr>
          <w:rFonts w:ascii="Arial Narrow" w:hAnsi="Arial Narrow" w:cs="Times New Roman"/>
          <w:sz w:val="24"/>
          <w:szCs w:val="24"/>
        </w:rPr>
      </w:pPr>
    </w:p>
    <w:p w:rsidR="005A24D0" w:rsidRPr="000131A6" w:rsidRDefault="005A24D0" w:rsidP="00445CB0">
      <w:pPr>
        <w:autoSpaceDE w:val="0"/>
        <w:autoSpaceDN w:val="0"/>
        <w:adjustRightInd w:val="0"/>
        <w:spacing w:after="0" w:line="240" w:lineRule="auto"/>
        <w:jc w:val="both"/>
        <w:rPr>
          <w:rFonts w:ascii="Arial Narrow" w:hAnsi="Arial Narrow" w:cs="Times New Roman"/>
          <w:sz w:val="24"/>
          <w:szCs w:val="24"/>
        </w:rPr>
      </w:pPr>
    </w:p>
    <w:tbl>
      <w:tblPr>
        <w:tblStyle w:val="MediumShading1-Accent6"/>
        <w:tblW w:w="0" w:type="auto"/>
        <w:tblLook w:val="04A0" w:firstRow="1" w:lastRow="0" w:firstColumn="1" w:lastColumn="0" w:noHBand="0" w:noVBand="1"/>
      </w:tblPr>
      <w:tblGrid>
        <w:gridCol w:w="8818"/>
      </w:tblGrid>
      <w:tr w:rsidR="00445CB0" w:rsidRPr="000131A6" w:rsidTr="00AA2E9F">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8978" w:type="dxa"/>
          </w:tcPr>
          <w:p w:rsidR="00445CB0" w:rsidRPr="009A306D" w:rsidRDefault="00445CB0" w:rsidP="00BC34A6">
            <w:pPr>
              <w:pStyle w:val="ListParagraph"/>
              <w:numPr>
                <w:ilvl w:val="0"/>
                <w:numId w:val="4"/>
              </w:numPr>
              <w:autoSpaceDE w:val="0"/>
              <w:autoSpaceDN w:val="0"/>
              <w:adjustRightInd w:val="0"/>
              <w:spacing w:before="120" w:after="120"/>
              <w:ind w:left="425"/>
              <w:contextualSpacing/>
              <w:jc w:val="both"/>
              <w:rPr>
                <w:rFonts w:ascii="Arial Narrow" w:hAnsi="Arial Narrow"/>
                <w:bCs w:val="0"/>
                <w:sz w:val="32"/>
                <w:szCs w:val="24"/>
              </w:rPr>
            </w:pPr>
            <w:r w:rsidRPr="009A306D">
              <w:rPr>
                <w:rFonts w:ascii="Arial Narrow" w:hAnsi="Arial Narrow"/>
                <w:bCs w:val="0"/>
                <w:sz w:val="32"/>
                <w:szCs w:val="24"/>
              </w:rPr>
              <w:t>PRINCIPALES HALLAZGOS DE LA EVALUACIÓN</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BC34A6">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Describir los hallazgos más relevantes de la evaluación:</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BC34A6">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Señalar cuales son las principales Fortalezas, Oportunidades, Debilidades y Amenazas (FODA), de acuerdo con los temas del programa, estrategias e instituciones.</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BC34A6">
            <w:pPr>
              <w:pStyle w:val="ListParagraph"/>
              <w:autoSpaceDE w:val="0"/>
              <w:autoSpaceDN w:val="0"/>
              <w:adjustRightInd w:val="0"/>
              <w:spacing w:before="120" w:after="120"/>
              <w:ind w:left="425"/>
              <w:jc w:val="both"/>
              <w:rPr>
                <w:rFonts w:ascii="Arial Narrow" w:hAnsi="Arial Narrow"/>
                <w:szCs w:val="24"/>
              </w:rPr>
            </w:pPr>
            <w:r w:rsidRPr="000131A6">
              <w:rPr>
                <w:rFonts w:ascii="Arial Narrow" w:hAnsi="Arial Narrow"/>
                <w:szCs w:val="24"/>
              </w:rPr>
              <w:t>Fortalezas:</w:t>
            </w:r>
            <w:r w:rsidR="00AA2E9F">
              <w:rPr>
                <w:rFonts w:ascii="Arial Narrow" w:hAnsi="Arial Narrow"/>
                <w:szCs w:val="24"/>
              </w:rPr>
              <w:t xml:space="preserve"> </w:t>
            </w:r>
            <w:r w:rsidR="00AA2E9F" w:rsidRPr="000630DE">
              <w:rPr>
                <w:rFonts w:ascii="Arial Narrow" w:hAnsi="Arial Narrow"/>
                <w:szCs w:val="24"/>
              </w:rPr>
              <w:t>Capacidad institucional</w:t>
            </w:r>
            <w:r w:rsidR="00AA2E9F" w:rsidRPr="00AA2E9F">
              <w:rPr>
                <w:rFonts w:ascii="Arial Narrow" w:hAnsi="Arial Narrow"/>
                <w:b w:val="0"/>
                <w:szCs w:val="24"/>
              </w:rPr>
              <w:t>: Se cuenta la infraestructura administrativa para la planeación y fiscalización (como es el caso de la secretaria de planeación y finanzas y el COPLADE) y ejercicio de la recaudación de impuestos, derechos, productos y aprovechamientos; (como recaudación de rentas, comisión estatal de servicios públicos en cada municipio), así como para su administración.</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284285">
            <w:pPr>
              <w:pStyle w:val="ListParagraph"/>
              <w:autoSpaceDE w:val="0"/>
              <w:autoSpaceDN w:val="0"/>
              <w:adjustRightInd w:val="0"/>
              <w:spacing w:before="120" w:after="120"/>
              <w:ind w:left="425"/>
              <w:jc w:val="both"/>
              <w:rPr>
                <w:rFonts w:ascii="Arial Narrow" w:hAnsi="Arial Narrow"/>
                <w:szCs w:val="24"/>
              </w:rPr>
            </w:pPr>
            <w:r w:rsidRPr="000131A6">
              <w:rPr>
                <w:rFonts w:ascii="Arial Narrow" w:hAnsi="Arial Narrow"/>
                <w:szCs w:val="24"/>
              </w:rPr>
              <w:t>Oportunidades:</w:t>
            </w:r>
            <w:r w:rsidR="00AA2E9F">
              <w:t xml:space="preserve"> </w:t>
            </w:r>
            <w:r w:rsidR="00AA2E9F" w:rsidRPr="000630DE">
              <w:rPr>
                <w:rFonts w:ascii="Arial Narrow" w:hAnsi="Arial Narrow"/>
                <w:szCs w:val="24"/>
              </w:rPr>
              <w:t>Recaudación extra de impuestos con respecto del proyectado</w:t>
            </w:r>
            <w:r w:rsidR="00AA2E9F" w:rsidRPr="00AA2E9F">
              <w:rPr>
                <w:rFonts w:ascii="Arial Narrow" w:hAnsi="Arial Narrow"/>
                <w:b w:val="0"/>
                <w:szCs w:val="24"/>
              </w:rPr>
              <w:t xml:space="preserve">: A pesar de que la tendencia del Estado de Baja California de acuerdo con el indicador de autonomía financiera  es a la baja, en relación al comportamiento observado para el año 2015 con un porcentaje de ingresos propios de 17.87 del total de ingresos, 2016 con 17.7 y 2017 con 10.38, se puede rescatar que se presenta también una recaudación mayor de impuestos cada año con respecto del año anterior </w:t>
            </w:r>
            <w:r w:rsidR="00284285">
              <w:rPr>
                <w:rFonts w:ascii="Arial Narrow" w:hAnsi="Arial Narrow"/>
                <w:b w:val="0"/>
                <w:szCs w:val="24"/>
              </w:rPr>
              <w:t xml:space="preserve">respecto </w:t>
            </w:r>
            <w:r w:rsidR="00AA2E9F" w:rsidRPr="00AA2E9F">
              <w:rPr>
                <w:rFonts w:ascii="Arial Narrow" w:hAnsi="Arial Narrow"/>
                <w:b w:val="0"/>
                <w:szCs w:val="24"/>
              </w:rPr>
              <w:t>de</w:t>
            </w:r>
            <w:r w:rsidR="00284285">
              <w:rPr>
                <w:rFonts w:ascii="Arial Narrow" w:hAnsi="Arial Narrow"/>
                <w:b w:val="0"/>
                <w:szCs w:val="24"/>
              </w:rPr>
              <w:t xml:space="preserve"> </w:t>
            </w:r>
            <w:r w:rsidR="00AA2E9F" w:rsidRPr="00AA2E9F">
              <w:rPr>
                <w:rFonts w:ascii="Arial Narrow" w:hAnsi="Arial Narrow"/>
                <w:b w:val="0"/>
                <w:szCs w:val="24"/>
              </w:rPr>
              <w:t>l</w:t>
            </w:r>
            <w:r w:rsidR="00284285">
              <w:rPr>
                <w:rFonts w:ascii="Arial Narrow" w:hAnsi="Arial Narrow"/>
                <w:b w:val="0"/>
                <w:szCs w:val="24"/>
              </w:rPr>
              <w:t>os</w:t>
            </w:r>
            <w:r w:rsidR="00AA2E9F" w:rsidRPr="00AA2E9F">
              <w:rPr>
                <w:rFonts w:ascii="Arial Narrow" w:hAnsi="Arial Narrow"/>
                <w:b w:val="0"/>
                <w:szCs w:val="24"/>
              </w:rPr>
              <w:t xml:space="preserve"> ingreso</w:t>
            </w:r>
            <w:r w:rsidR="00284285">
              <w:rPr>
                <w:rFonts w:ascii="Arial Narrow" w:hAnsi="Arial Narrow"/>
                <w:b w:val="0"/>
                <w:szCs w:val="24"/>
              </w:rPr>
              <w:t>s por participaciones</w:t>
            </w:r>
            <w:r w:rsidR="00AA2E9F" w:rsidRPr="00AA2E9F">
              <w:rPr>
                <w:rFonts w:ascii="Arial Narrow" w:hAnsi="Arial Narrow"/>
                <w:b w:val="0"/>
                <w:szCs w:val="24"/>
              </w:rPr>
              <w:t xml:space="preserve"> proyectado</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AA2E9F" w:rsidRPr="00AA2E9F" w:rsidRDefault="00445CB0" w:rsidP="00AA2E9F">
            <w:pPr>
              <w:pStyle w:val="ListParagraph"/>
              <w:autoSpaceDE w:val="0"/>
              <w:autoSpaceDN w:val="0"/>
              <w:adjustRightInd w:val="0"/>
              <w:spacing w:before="120" w:after="120"/>
              <w:ind w:left="425"/>
              <w:jc w:val="both"/>
              <w:rPr>
                <w:rFonts w:ascii="Arial Narrow" w:hAnsi="Arial Narrow"/>
                <w:b w:val="0"/>
                <w:szCs w:val="24"/>
              </w:rPr>
            </w:pPr>
            <w:r w:rsidRPr="000131A6">
              <w:rPr>
                <w:rFonts w:ascii="Arial Narrow" w:hAnsi="Arial Narrow"/>
                <w:szCs w:val="24"/>
              </w:rPr>
              <w:t>Debilidades:</w:t>
            </w:r>
            <w:r w:rsidR="00AA2E9F">
              <w:t xml:space="preserve"> </w:t>
            </w:r>
            <w:r w:rsidR="00AA2E9F" w:rsidRPr="000630DE">
              <w:rPr>
                <w:rFonts w:ascii="Arial Narrow" w:hAnsi="Arial Narrow"/>
                <w:szCs w:val="24"/>
              </w:rPr>
              <w:t>Dependencia excesiva de los recursos federales</w:t>
            </w:r>
            <w:r w:rsidR="00AA2E9F" w:rsidRPr="00AA2E9F">
              <w:rPr>
                <w:rFonts w:ascii="Arial Narrow" w:hAnsi="Arial Narrow"/>
                <w:b w:val="0"/>
                <w:szCs w:val="24"/>
              </w:rPr>
              <w:t>: Como vimos, aproximadamente el 80% de los ingresos proviene de transferencias federales ya sean aportaciones y/o participaciones, que por su naturaleza se encuentran etiquetados para su destino, en el caso de Baja California como se ha observado principalmente se distribuyen en educación y seguridad, las consecuencias de esta situación se observan en la limitada capacidad de maniobra del gobierno de para financiar proyectos locales, por lo que el desarrollo municipal se ve cooptado.</w:t>
            </w:r>
          </w:p>
          <w:p w:rsidR="00AA2E9F" w:rsidRPr="00AA2E9F" w:rsidRDefault="00AA2E9F" w:rsidP="00AA2E9F">
            <w:pPr>
              <w:pStyle w:val="ListParagraph"/>
              <w:autoSpaceDE w:val="0"/>
              <w:autoSpaceDN w:val="0"/>
              <w:adjustRightInd w:val="0"/>
              <w:spacing w:before="120" w:after="120"/>
              <w:ind w:left="425"/>
              <w:jc w:val="both"/>
              <w:rPr>
                <w:rFonts w:ascii="Arial Narrow" w:hAnsi="Arial Narrow"/>
                <w:b w:val="0"/>
                <w:szCs w:val="24"/>
              </w:rPr>
            </w:pPr>
            <w:r w:rsidRPr="00AA2E9F">
              <w:rPr>
                <w:rFonts w:ascii="Arial Narrow" w:hAnsi="Arial Narrow"/>
                <w:b w:val="0"/>
                <w:szCs w:val="24"/>
              </w:rPr>
              <w:t>Aunado a lo anterior, cabe destacar que, es el municipio de Tijuana el más beneficiado con la distribución estatal</w:t>
            </w:r>
            <w:r w:rsidR="00284285">
              <w:rPr>
                <w:rFonts w:ascii="Arial Narrow" w:hAnsi="Arial Narrow"/>
                <w:b w:val="0"/>
                <w:szCs w:val="24"/>
              </w:rPr>
              <w:t>, 51% del total</w:t>
            </w:r>
            <w:r w:rsidRPr="00AA2E9F">
              <w:rPr>
                <w:rFonts w:ascii="Arial Narrow" w:hAnsi="Arial Narrow"/>
                <w:b w:val="0"/>
                <w:szCs w:val="24"/>
              </w:rPr>
              <w:t xml:space="preserve">, </w:t>
            </w:r>
            <w:r w:rsidR="00284285">
              <w:rPr>
                <w:rFonts w:ascii="Arial Narrow" w:hAnsi="Arial Narrow"/>
                <w:b w:val="0"/>
                <w:szCs w:val="24"/>
              </w:rPr>
              <w:t>los municipios menos beneficiados Tecate y Playas de Rosarito con alrede</w:t>
            </w:r>
            <w:r w:rsidR="000630DE">
              <w:rPr>
                <w:rFonts w:ascii="Arial Narrow" w:hAnsi="Arial Narrow"/>
                <w:b w:val="0"/>
                <w:szCs w:val="24"/>
              </w:rPr>
              <w:t xml:space="preserve">dor del 4% cada uno sobre el total participable a los Municipios; </w:t>
            </w:r>
            <w:r w:rsidRPr="00AA2E9F">
              <w:rPr>
                <w:rFonts w:ascii="Arial Narrow" w:hAnsi="Arial Narrow"/>
                <w:b w:val="0"/>
                <w:szCs w:val="24"/>
              </w:rPr>
              <w:t>de acuerdo con los criterios del gasto federalizado, por sus dimensiones y aportación desde el año 2010, más es la capital del estado Mexicali, quien manifiesta un incremento porcentual mayor por concepto de recaudación de impuesto predial y el correspondiente al traslado de dominio, así las acciones adecuadas para emprender esta problemática podrían ser:</w:t>
            </w:r>
          </w:p>
          <w:p w:rsidR="00AA2E9F" w:rsidRPr="00AA2E9F" w:rsidRDefault="00AA2E9F" w:rsidP="00AA2E9F">
            <w:pPr>
              <w:pStyle w:val="ListParagraph"/>
              <w:autoSpaceDE w:val="0"/>
              <w:autoSpaceDN w:val="0"/>
              <w:adjustRightInd w:val="0"/>
              <w:spacing w:before="120" w:after="120"/>
              <w:ind w:left="425"/>
              <w:jc w:val="both"/>
              <w:rPr>
                <w:rFonts w:ascii="Arial Narrow" w:hAnsi="Arial Narrow"/>
                <w:b w:val="0"/>
                <w:szCs w:val="24"/>
              </w:rPr>
            </w:pPr>
            <w:r w:rsidRPr="00AA2E9F">
              <w:rPr>
                <w:rFonts w:ascii="Arial Narrow" w:hAnsi="Arial Narrow"/>
                <w:b w:val="0"/>
                <w:szCs w:val="24"/>
              </w:rPr>
              <w:t>1.</w:t>
            </w:r>
            <w:r w:rsidRPr="00AA2E9F">
              <w:rPr>
                <w:rFonts w:ascii="Arial Narrow" w:hAnsi="Arial Narrow"/>
                <w:b w:val="0"/>
                <w:szCs w:val="24"/>
              </w:rPr>
              <w:tab/>
              <w:t>Fortalecer el sistema de recaudación fiscal del municipio de Mexicali y Tijuana, que presentan un mayor desenvolvimiento y efectividad, mediante la incorporación de recursos técnicos, tecnológicos enfocados en la recaudación del impuesto predial y el traslado de dominio.</w:t>
            </w:r>
          </w:p>
          <w:p w:rsidR="00445CB0" w:rsidRDefault="00AA2E9F" w:rsidP="00AA2E9F">
            <w:pPr>
              <w:pStyle w:val="ListParagraph"/>
              <w:autoSpaceDE w:val="0"/>
              <w:autoSpaceDN w:val="0"/>
              <w:adjustRightInd w:val="0"/>
              <w:spacing w:before="120" w:after="120"/>
              <w:ind w:left="425"/>
              <w:jc w:val="both"/>
              <w:rPr>
                <w:rFonts w:ascii="Arial Narrow" w:hAnsi="Arial Narrow"/>
                <w:b w:val="0"/>
                <w:szCs w:val="24"/>
              </w:rPr>
            </w:pPr>
            <w:r w:rsidRPr="00AA2E9F">
              <w:rPr>
                <w:rFonts w:ascii="Arial Narrow" w:hAnsi="Arial Narrow"/>
                <w:b w:val="0"/>
                <w:szCs w:val="24"/>
              </w:rPr>
              <w:t>2.</w:t>
            </w:r>
            <w:r w:rsidRPr="00AA2E9F">
              <w:rPr>
                <w:rFonts w:ascii="Arial Narrow" w:hAnsi="Arial Narrow"/>
                <w:b w:val="0"/>
                <w:szCs w:val="24"/>
              </w:rPr>
              <w:tab/>
              <w:t xml:space="preserve">Incrementar la presencia de la autoridad fiscal frente a los contribuyentes, mediante los actos de fiscalización, ya sea mediante la emisión de cartas de invitación o requerimientos directos a contribuyentes morosos. </w:t>
            </w:r>
          </w:p>
          <w:p w:rsidR="000630DE" w:rsidRPr="00AA2E9F" w:rsidRDefault="000630DE" w:rsidP="00AA2E9F">
            <w:pPr>
              <w:pStyle w:val="ListParagraph"/>
              <w:autoSpaceDE w:val="0"/>
              <w:autoSpaceDN w:val="0"/>
              <w:adjustRightInd w:val="0"/>
              <w:spacing w:before="120" w:after="120"/>
              <w:ind w:left="425"/>
              <w:jc w:val="both"/>
              <w:rPr>
                <w:rFonts w:ascii="Arial Narrow" w:hAnsi="Arial Narrow"/>
                <w:b w:val="0"/>
                <w:szCs w:val="24"/>
              </w:rPr>
            </w:pP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AA2E9F" w:rsidRPr="00AA2E9F" w:rsidRDefault="00445CB0" w:rsidP="00AA2E9F">
            <w:pPr>
              <w:pStyle w:val="ListParagraph"/>
              <w:autoSpaceDE w:val="0"/>
              <w:autoSpaceDN w:val="0"/>
              <w:adjustRightInd w:val="0"/>
              <w:spacing w:before="120" w:after="120"/>
              <w:ind w:left="425"/>
              <w:jc w:val="both"/>
              <w:rPr>
                <w:rFonts w:ascii="Arial Narrow" w:hAnsi="Arial Narrow"/>
                <w:b w:val="0"/>
                <w:szCs w:val="24"/>
              </w:rPr>
            </w:pPr>
            <w:r w:rsidRPr="000131A6">
              <w:rPr>
                <w:rFonts w:ascii="Arial Narrow" w:hAnsi="Arial Narrow"/>
                <w:szCs w:val="24"/>
              </w:rPr>
              <w:t>Amenazas:</w:t>
            </w:r>
            <w:r w:rsidR="00AA2E9F">
              <w:t xml:space="preserve"> </w:t>
            </w:r>
            <w:r w:rsidR="000630DE" w:rsidRPr="000630DE">
              <w:rPr>
                <w:rFonts w:ascii="Arial Narrow" w:hAnsi="Arial Narrow"/>
                <w:szCs w:val="24"/>
              </w:rPr>
              <w:t>Alta dependencia de los Recursos Federales e</w:t>
            </w:r>
            <w:r w:rsidR="000630DE" w:rsidRPr="000630DE">
              <w:t xml:space="preserve"> </w:t>
            </w:r>
            <w:r w:rsidR="00AA2E9F" w:rsidRPr="000630DE">
              <w:rPr>
                <w:rFonts w:ascii="Arial Narrow" w:hAnsi="Arial Narrow"/>
                <w:szCs w:val="24"/>
              </w:rPr>
              <w:t>Inestabilidad macroeconómica</w:t>
            </w:r>
            <w:r w:rsidR="00AA2E9F" w:rsidRPr="00AA2E9F">
              <w:rPr>
                <w:rFonts w:ascii="Arial Narrow" w:hAnsi="Arial Narrow"/>
                <w:b w:val="0"/>
                <w:szCs w:val="24"/>
              </w:rPr>
              <w:t xml:space="preserve">: La estabilidad macroeconómica del país y la conducción de sus finanzas son determinantes en la distribución equitativa de los ingresos estatales, por lo que como consecuencia de la dependencia de las aportaciones y participaciones federales, cualquier contingencia que pudiese afectar el quehacer de la federación, también lo haría con la descentralización del recurso hacia Baja California, que como vimos, depende en un 80% de estos. </w:t>
            </w:r>
          </w:p>
          <w:p w:rsidR="00AA2E9F" w:rsidRPr="00AA2E9F" w:rsidRDefault="00AA2E9F" w:rsidP="00AA2E9F">
            <w:pPr>
              <w:pStyle w:val="ListParagraph"/>
              <w:autoSpaceDE w:val="0"/>
              <w:autoSpaceDN w:val="0"/>
              <w:adjustRightInd w:val="0"/>
              <w:spacing w:before="120" w:after="120"/>
              <w:ind w:left="425"/>
              <w:jc w:val="both"/>
              <w:rPr>
                <w:rFonts w:ascii="Arial Narrow" w:hAnsi="Arial Narrow"/>
                <w:b w:val="0"/>
                <w:szCs w:val="24"/>
              </w:rPr>
            </w:pPr>
            <w:r w:rsidRPr="00AA2E9F">
              <w:rPr>
                <w:rFonts w:ascii="Arial Narrow" w:hAnsi="Arial Narrow"/>
                <w:b w:val="0"/>
                <w:szCs w:val="24"/>
              </w:rPr>
              <w:t xml:space="preserve">Problemas contingentes comunes de cada municipio: Los requerimientos de atención continua a problemas públicos que por su naturaleza son impredecibles en términos cuantificables ha sido también una amenaza persistente a las finanzas públicas, específicamente se pueden identificar los siguientes problemas; </w:t>
            </w:r>
          </w:p>
          <w:p w:rsidR="00AA2E9F" w:rsidRPr="00AA2E9F" w:rsidRDefault="00AA2E9F" w:rsidP="00AA2E9F">
            <w:pPr>
              <w:pStyle w:val="ListParagraph"/>
              <w:autoSpaceDE w:val="0"/>
              <w:autoSpaceDN w:val="0"/>
              <w:adjustRightInd w:val="0"/>
              <w:spacing w:before="120" w:after="120"/>
              <w:ind w:left="425"/>
              <w:jc w:val="both"/>
              <w:rPr>
                <w:rFonts w:ascii="Arial Narrow" w:hAnsi="Arial Narrow"/>
                <w:b w:val="0"/>
                <w:szCs w:val="24"/>
              </w:rPr>
            </w:pPr>
            <w:r w:rsidRPr="00AA2E9F">
              <w:rPr>
                <w:rFonts w:ascii="Arial Narrow" w:hAnsi="Arial Narrow"/>
                <w:b w:val="0"/>
                <w:szCs w:val="24"/>
              </w:rPr>
              <w:t>Mexicali: Las condiciones climatológicas extremas y la migración derivada de la deportación de connacionales hacen obligatoria la atención gubernamental.</w:t>
            </w:r>
          </w:p>
          <w:p w:rsidR="00AA2E9F" w:rsidRPr="00AA2E9F" w:rsidRDefault="00AA2E9F" w:rsidP="00AA2E9F">
            <w:pPr>
              <w:pStyle w:val="ListParagraph"/>
              <w:autoSpaceDE w:val="0"/>
              <w:autoSpaceDN w:val="0"/>
              <w:adjustRightInd w:val="0"/>
              <w:spacing w:before="120" w:after="120"/>
              <w:ind w:left="425"/>
              <w:jc w:val="both"/>
              <w:rPr>
                <w:rFonts w:ascii="Arial Narrow" w:hAnsi="Arial Narrow"/>
                <w:b w:val="0"/>
                <w:szCs w:val="24"/>
              </w:rPr>
            </w:pPr>
            <w:r w:rsidRPr="00AA2E9F">
              <w:rPr>
                <w:rFonts w:ascii="Arial Narrow" w:hAnsi="Arial Narrow"/>
                <w:b w:val="0"/>
                <w:szCs w:val="24"/>
              </w:rPr>
              <w:t xml:space="preserve">Tijuana: La inseguridad es el principal problema de este municipio, causa también de la disminución de inversión y desarrollo </w:t>
            </w:r>
            <w:r w:rsidR="00E0113E" w:rsidRPr="00AA2E9F">
              <w:rPr>
                <w:rFonts w:ascii="Arial Narrow" w:hAnsi="Arial Narrow"/>
                <w:b w:val="0"/>
                <w:szCs w:val="24"/>
              </w:rPr>
              <w:t>competitivo, por</w:t>
            </w:r>
            <w:r w:rsidRPr="00AA2E9F">
              <w:rPr>
                <w:rFonts w:ascii="Arial Narrow" w:hAnsi="Arial Narrow"/>
                <w:b w:val="0"/>
                <w:szCs w:val="24"/>
              </w:rPr>
              <w:t xml:space="preserve"> lo que a pesar del destino de recursos en materia de prevención, la inestabilidad de este problema obliga al gobierno del estado a crear cada año diversos mecanismos para atender dicha problemática.</w:t>
            </w:r>
          </w:p>
          <w:p w:rsidR="00AA2E9F" w:rsidRPr="00AA2E9F" w:rsidRDefault="00AA2E9F" w:rsidP="00AA2E9F">
            <w:pPr>
              <w:pStyle w:val="ListParagraph"/>
              <w:autoSpaceDE w:val="0"/>
              <w:autoSpaceDN w:val="0"/>
              <w:adjustRightInd w:val="0"/>
              <w:spacing w:before="120" w:after="120"/>
              <w:ind w:left="425"/>
              <w:jc w:val="both"/>
              <w:rPr>
                <w:rFonts w:ascii="Arial Narrow" w:hAnsi="Arial Narrow"/>
                <w:b w:val="0"/>
                <w:szCs w:val="24"/>
              </w:rPr>
            </w:pPr>
            <w:r w:rsidRPr="00AA2E9F">
              <w:rPr>
                <w:rFonts w:ascii="Arial Narrow" w:hAnsi="Arial Narrow"/>
                <w:b w:val="0"/>
                <w:szCs w:val="24"/>
              </w:rPr>
              <w:t xml:space="preserve">Otra situación que se presenta eventualmente en el municipio de Tijuana son los siniestros por desgajamiento de los cerros afectando viviendas y obras de infraestructura e inestabilidad del territorio. </w:t>
            </w:r>
          </w:p>
          <w:p w:rsidR="00445CB0" w:rsidRPr="000131A6" w:rsidRDefault="00AA2E9F" w:rsidP="00AA2E9F">
            <w:pPr>
              <w:pStyle w:val="ListParagraph"/>
              <w:autoSpaceDE w:val="0"/>
              <w:autoSpaceDN w:val="0"/>
              <w:adjustRightInd w:val="0"/>
              <w:spacing w:before="120" w:after="120"/>
              <w:ind w:left="425"/>
              <w:jc w:val="both"/>
              <w:rPr>
                <w:rFonts w:ascii="Arial Narrow" w:hAnsi="Arial Narrow"/>
                <w:szCs w:val="24"/>
              </w:rPr>
            </w:pPr>
            <w:r w:rsidRPr="00AA2E9F">
              <w:rPr>
                <w:rFonts w:ascii="Arial Narrow" w:hAnsi="Arial Narrow"/>
                <w:b w:val="0"/>
                <w:szCs w:val="24"/>
              </w:rPr>
              <w:t>Ensenada: Los problemas más destacados son el deficiente tratamiento de las aguas negras y la ineficiente distribución de los permisos para el uso de suelo en el sector privado.</w:t>
            </w:r>
          </w:p>
        </w:tc>
      </w:tr>
    </w:tbl>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tbl>
      <w:tblPr>
        <w:tblStyle w:val="MediumShading1-Accent6"/>
        <w:tblW w:w="0" w:type="auto"/>
        <w:tblLook w:val="04A0" w:firstRow="1" w:lastRow="0" w:firstColumn="1" w:lastColumn="0" w:noHBand="0" w:noVBand="1"/>
      </w:tblPr>
      <w:tblGrid>
        <w:gridCol w:w="8818"/>
      </w:tblGrid>
      <w:tr w:rsidR="00445CB0" w:rsidRPr="000131A6" w:rsidTr="00AA2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tcPr>
          <w:p w:rsidR="00445CB0" w:rsidRPr="00A127E0" w:rsidRDefault="00445CB0" w:rsidP="00BC34A6">
            <w:pPr>
              <w:pStyle w:val="ListParagraph"/>
              <w:numPr>
                <w:ilvl w:val="0"/>
                <w:numId w:val="4"/>
              </w:numPr>
              <w:autoSpaceDE w:val="0"/>
              <w:autoSpaceDN w:val="0"/>
              <w:adjustRightInd w:val="0"/>
              <w:spacing w:before="120" w:after="120"/>
              <w:ind w:left="425"/>
              <w:contextualSpacing/>
              <w:jc w:val="both"/>
              <w:rPr>
                <w:rFonts w:ascii="Arial Narrow" w:hAnsi="Arial Narrow"/>
                <w:sz w:val="32"/>
                <w:szCs w:val="24"/>
              </w:rPr>
            </w:pPr>
            <w:r w:rsidRPr="00A127E0">
              <w:rPr>
                <w:rFonts w:ascii="Arial Narrow" w:hAnsi="Arial Narrow"/>
                <w:sz w:val="32"/>
                <w:szCs w:val="24"/>
              </w:rPr>
              <w:t>CONCLUSIONES Y RECOMENDACIONES DE LA EVALUACIÓN</w:t>
            </w:r>
          </w:p>
        </w:tc>
      </w:tr>
      <w:tr w:rsidR="00445CB0" w:rsidRPr="000131A6" w:rsidTr="00AA2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tcPr>
          <w:p w:rsidR="00445CB0" w:rsidRPr="000131A6" w:rsidRDefault="00445CB0" w:rsidP="00BC34A6">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Describir brevemente las conclusiones de la evaluación:</w:t>
            </w:r>
          </w:p>
        </w:tc>
      </w:tr>
      <w:tr w:rsidR="00445CB0" w:rsidRPr="000131A6" w:rsidTr="00AA2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tcPr>
          <w:p w:rsidR="00445CB0" w:rsidRPr="000131A6" w:rsidRDefault="00445CB0" w:rsidP="00BC34A6">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Describir las recomendaciones de acuerdo a su relevancia:</w:t>
            </w:r>
          </w:p>
        </w:tc>
      </w:tr>
      <w:tr w:rsidR="00445CB0" w:rsidRPr="000131A6" w:rsidTr="00AA2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tcPr>
          <w:p w:rsidR="00445CB0" w:rsidRPr="000131A6" w:rsidRDefault="00445CB0" w:rsidP="00A86702">
            <w:pPr>
              <w:pStyle w:val="ListParagraph"/>
              <w:autoSpaceDE w:val="0"/>
              <w:autoSpaceDN w:val="0"/>
              <w:adjustRightInd w:val="0"/>
              <w:spacing w:before="120" w:after="120"/>
              <w:ind w:left="425"/>
              <w:jc w:val="both"/>
              <w:rPr>
                <w:rFonts w:ascii="Arial Narrow" w:hAnsi="Arial Narrow"/>
                <w:szCs w:val="24"/>
              </w:rPr>
            </w:pPr>
            <w:r w:rsidRPr="000131A6">
              <w:rPr>
                <w:rFonts w:ascii="Arial Narrow" w:hAnsi="Arial Narrow"/>
                <w:szCs w:val="24"/>
              </w:rPr>
              <w:t>1</w:t>
            </w:r>
            <w:r w:rsidR="00AA2E9F">
              <w:t xml:space="preserve"> </w:t>
            </w:r>
            <w:r w:rsidR="00A86702">
              <w:rPr>
                <w:rFonts w:ascii="Arial Narrow" w:hAnsi="Arial Narrow"/>
                <w:b w:val="0"/>
                <w:szCs w:val="24"/>
              </w:rPr>
              <w:t>Dar seguimiento mediante indicadores de gestión, a l</w:t>
            </w:r>
            <w:r w:rsidR="00AA2E9F" w:rsidRPr="00AA2E9F">
              <w:rPr>
                <w:rFonts w:ascii="Arial Narrow" w:hAnsi="Arial Narrow"/>
                <w:b w:val="0"/>
                <w:szCs w:val="24"/>
              </w:rPr>
              <w:t xml:space="preserve">as participaciones </w:t>
            </w:r>
            <w:r w:rsidR="00A86702">
              <w:rPr>
                <w:rFonts w:ascii="Arial Narrow" w:hAnsi="Arial Narrow"/>
                <w:b w:val="0"/>
                <w:szCs w:val="24"/>
              </w:rPr>
              <w:t xml:space="preserve">que </w:t>
            </w:r>
            <w:r w:rsidR="00AA2E9F" w:rsidRPr="00AA2E9F">
              <w:rPr>
                <w:rFonts w:ascii="Arial Narrow" w:hAnsi="Arial Narrow"/>
                <w:b w:val="0"/>
                <w:szCs w:val="24"/>
              </w:rPr>
              <w:t>se transfieren conforme a lo establecido en la Ley de Coordinación Fiscal y los Convenios de Adhesión al Sistema Nacional de C</w:t>
            </w:r>
            <w:r w:rsidR="00133282">
              <w:rPr>
                <w:rFonts w:ascii="Arial Narrow" w:hAnsi="Arial Narrow"/>
                <w:b w:val="0"/>
                <w:szCs w:val="24"/>
              </w:rPr>
              <w:t>oordinación Fiscal y sus anexos ejercidas por el Estado.</w:t>
            </w:r>
          </w:p>
        </w:tc>
      </w:tr>
      <w:tr w:rsidR="00445CB0" w:rsidRPr="000131A6" w:rsidTr="00AA2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tcPr>
          <w:p w:rsidR="00AA2E9F" w:rsidRPr="00AA2E9F" w:rsidRDefault="00445CB0" w:rsidP="00AA2E9F">
            <w:pPr>
              <w:pStyle w:val="ListParagraph"/>
              <w:autoSpaceDE w:val="0"/>
              <w:autoSpaceDN w:val="0"/>
              <w:adjustRightInd w:val="0"/>
              <w:spacing w:before="120" w:after="120"/>
              <w:ind w:left="425"/>
              <w:jc w:val="both"/>
              <w:rPr>
                <w:rFonts w:ascii="Arial Narrow" w:hAnsi="Arial Narrow"/>
                <w:b w:val="0"/>
                <w:szCs w:val="24"/>
              </w:rPr>
            </w:pPr>
            <w:r w:rsidRPr="000131A6">
              <w:rPr>
                <w:rFonts w:ascii="Arial Narrow" w:hAnsi="Arial Narrow"/>
                <w:szCs w:val="24"/>
              </w:rPr>
              <w:t>2</w:t>
            </w:r>
            <w:r w:rsidR="00AA2E9F">
              <w:rPr>
                <w:rFonts w:ascii="Arial Narrow" w:hAnsi="Arial Narrow"/>
                <w:szCs w:val="24"/>
              </w:rPr>
              <w:t xml:space="preserve"> </w:t>
            </w:r>
            <w:r w:rsidR="00A86702" w:rsidRPr="00A86702">
              <w:rPr>
                <w:rFonts w:ascii="Arial Narrow" w:hAnsi="Arial Narrow"/>
                <w:b w:val="0"/>
                <w:szCs w:val="24"/>
              </w:rPr>
              <w:t>Medir los impactos indirectos e</w:t>
            </w:r>
            <w:r w:rsidR="00AA2E9F" w:rsidRPr="00AA2E9F">
              <w:rPr>
                <w:rFonts w:ascii="Arial Narrow" w:hAnsi="Arial Narrow"/>
                <w:b w:val="0"/>
                <w:szCs w:val="24"/>
              </w:rPr>
              <w:t xml:space="preserve"> incentivos económicos </w:t>
            </w:r>
            <w:r w:rsidR="00A86702">
              <w:rPr>
                <w:rFonts w:ascii="Arial Narrow" w:hAnsi="Arial Narrow"/>
                <w:b w:val="0"/>
                <w:szCs w:val="24"/>
              </w:rPr>
              <w:t xml:space="preserve">que </w:t>
            </w:r>
            <w:r w:rsidR="00AA2E9F" w:rsidRPr="00AA2E9F">
              <w:rPr>
                <w:rFonts w:ascii="Arial Narrow" w:hAnsi="Arial Narrow"/>
                <w:b w:val="0"/>
                <w:szCs w:val="24"/>
              </w:rPr>
              <w:t>se derivan de la retribución que reciben las entidades federativas por las actividades de colaboración administrativa que realizan con la Federación, en el marco del Convenio de Colaboración Administrativa en Materia Fiscal Federal y sus anexos</w:t>
            </w:r>
            <w:r w:rsidR="00133282">
              <w:rPr>
                <w:rFonts w:ascii="Arial Narrow" w:hAnsi="Arial Narrow"/>
                <w:b w:val="0"/>
                <w:szCs w:val="24"/>
              </w:rPr>
              <w:t>, tanto en las Administraciones Municipales como en la Administración Estatal</w:t>
            </w:r>
            <w:r w:rsidR="00AA2E9F" w:rsidRPr="00AA2E9F">
              <w:rPr>
                <w:rFonts w:ascii="Arial Narrow" w:hAnsi="Arial Narrow"/>
                <w:b w:val="0"/>
                <w:szCs w:val="24"/>
              </w:rPr>
              <w:t>.</w:t>
            </w:r>
          </w:p>
          <w:p w:rsidR="00445CB0" w:rsidRPr="000131A6" w:rsidRDefault="00AA2E9F" w:rsidP="00A86702">
            <w:pPr>
              <w:pStyle w:val="ListParagraph"/>
              <w:autoSpaceDE w:val="0"/>
              <w:autoSpaceDN w:val="0"/>
              <w:adjustRightInd w:val="0"/>
              <w:spacing w:before="120" w:after="120"/>
              <w:ind w:left="425"/>
              <w:jc w:val="both"/>
              <w:rPr>
                <w:rFonts w:ascii="Arial Narrow" w:hAnsi="Arial Narrow"/>
                <w:szCs w:val="24"/>
              </w:rPr>
            </w:pPr>
            <w:r w:rsidRPr="00AA2E9F">
              <w:rPr>
                <w:rFonts w:ascii="Arial Narrow" w:hAnsi="Arial Narrow"/>
                <w:b w:val="0"/>
                <w:szCs w:val="24"/>
              </w:rPr>
              <w:t xml:space="preserve">En este contexto, se </w:t>
            </w:r>
            <w:r w:rsidR="00A86702">
              <w:rPr>
                <w:rFonts w:ascii="Arial Narrow" w:hAnsi="Arial Narrow"/>
                <w:b w:val="0"/>
                <w:szCs w:val="24"/>
              </w:rPr>
              <w:t xml:space="preserve">debe </w:t>
            </w:r>
            <w:r w:rsidRPr="00AA2E9F">
              <w:rPr>
                <w:rFonts w:ascii="Arial Narrow" w:hAnsi="Arial Narrow"/>
                <w:b w:val="0"/>
                <w:szCs w:val="24"/>
              </w:rPr>
              <w:t>trabaja</w:t>
            </w:r>
            <w:r w:rsidR="00A86702">
              <w:rPr>
                <w:rFonts w:ascii="Arial Narrow" w:hAnsi="Arial Narrow"/>
                <w:b w:val="0"/>
                <w:szCs w:val="24"/>
              </w:rPr>
              <w:t>r</w:t>
            </w:r>
            <w:r w:rsidRPr="00AA2E9F">
              <w:rPr>
                <w:rFonts w:ascii="Arial Narrow" w:hAnsi="Arial Narrow"/>
                <w:b w:val="0"/>
                <w:szCs w:val="24"/>
              </w:rPr>
              <w:t xml:space="preserve"> coordinadamente con los niveles locales de gobierno para consolidar el sistema en materia hacendaria (ingreso, gasto y deuda), </w:t>
            </w:r>
            <w:r w:rsidR="00A86702">
              <w:rPr>
                <w:rFonts w:ascii="Arial Narrow" w:hAnsi="Arial Narrow"/>
                <w:b w:val="0"/>
                <w:szCs w:val="24"/>
              </w:rPr>
              <w:t>a fin de</w:t>
            </w:r>
            <w:r w:rsidRPr="00AA2E9F">
              <w:rPr>
                <w:rFonts w:ascii="Arial Narrow" w:hAnsi="Arial Narrow"/>
                <w:b w:val="0"/>
                <w:szCs w:val="24"/>
              </w:rPr>
              <w:t xml:space="preserve"> concertar acciones y propiciar mejores relaciones hacendarias entre los tres órdenes gubernamentales.</w:t>
            </w:r>
          </w:p>
        </w:tc>
      </w:tr>
      <w:tr w:rsidR="00445CB0" w:rsidRPr="000131A6" w:rsidTr="00AA2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tcPr>
          <w:p w:rsidR="00445CB0" w:rsidRPr="00AA2E9F" w:rsidRDefault="00445CB0" w:rsidP="00AA2E9F">
            <w:pPr>
              <w:pStyle w:val="ListParagraph"/>
              <w:autoSpaceDE w:val="0"/>
              <w:autoSpaceDN w:val="0"/>
              <w:adjustRightInd w:val="0"/>
              <w:spacing w:before="120" w:after="120"/>
              <w:ind w:left="425"/>
              <w:jc w:val="both"/>
              <w:rPr>
                <w:rFonts w:ascii="Arial Narrow" w:hAnsi="Arial Narrow"/>
                <w:szCs w:val="24"/>
              </w:rPr>
            </w:pPr>
            <w:r w:rsidRPr="000131A6">
              <w:rPr>
                <w:rFonts w:ascii="Arial Narrow" w:hAnsi="Arial Narrow"/>
                <w:szCs w:val="24"/>
              </w:rPr>
              <w:t>3</w:t>
            </w:r>
            <w:r w:rsidR="00AA2E9F">
              <w:rPr>
                <w:rFonts w:ascii="Arial Narrow" w:hAnsi="Arial Narrow"/>
                <w:szCs w:val="24"/>
              </w:rPr>
              <w:t xml:space="preserve"> </w:t>
            </w:r>
            <w:r w:rsidR="00AA2E9F" w:rsidRPr="00AA2E9F">
              <w:rPr>
                <w:rFonts w:ascii="Arial Narrow" w:hAnsi="Arial Narrow"/>
                <w:b w:val="0"/>
                <w:szCs w:val="24"/>
              </w:rPr>
              <w:t>En congruencia con lo anterior, durante 2017 se propone continuar con la coordinación intergubernamental con las entidades federativas y municipios del país, en el marco del Sistema Nacional de Coordinación Fiscal, para avanzar en la consolidación del federalismo hacendario, a fin de que los tres órdenes de gobierno fortalezcan su capacidad financiera en un entorno de estabilidad en sus finanzas públicas, con recursos presupuestarios adecuados a sus necesidades, que permita financiar el desarrollo integral, incluyente, sustentable y sostenido de todas las regiones del país.</w:t>
            </w:r>
            <w:r w:rsidR="00AA2E9F">
              <w:rPr>
                <w:rFonts w:ascii="Arial Narrow" w:hAnsi="Arial Narrow"/>
                <w:szCs w:val="24"/>
              </w:rPr>
              <w:t xml:space="preserve"> </w:t>
            </w:r>
          </w:p>
        </w:tc>
      </w:tr>
      <w:tr w:rsidR="00445CB0" w:rsidRPr="000131A6" w:rsidTr="00AA2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tcPr>
          <w:p w:rsidR="00445CB0" w:rsidRPr="000131A6" w:rsidRDefault="00445CB0" w:rsidP="00A86702">
            <w:pPr>
              <w:pStyle w:val="ListParagraph"/>
              <w:autoSpaceDE w:val="0"/>
              <w:autoSpaceDN w:val="0"/>
              <w:adjustRightInd w:val="0"/>
              <w:spacing w:before="120" w:after="120"/>
              <w:ind w:left="425"/>
              <w:jc w:val="both"/>
              <w:rPr>
                <w:rFonts w:ascii="Arial Narrow" w:hAnsi="Arial Narrow"/>
                <w:szCs w:val="24"/>
              </w:rPr>
            </w:pPr>
            <w:r>
              <w:rPr>
                <w:rFonts w:ascii="Arial Narrow" w:hAnsi="Arial Narrow"/>
                <w:szCs w:val="24"/>
              </w:rPr>
              <w:t>4</w:t>
            </w:r>
            <w:r w:rsidR="00AA2E9F">
              <w:rPr>
                <w:rFonts w:ascii="Arial Narrow" w:hAnsi="Arial Narrow"/>
                <w:szCs w:val="24"/>
              </w:rPr>
              <w:t xml:space="preserve">. </w:t>
            </w:r>
            <w:r w:rsidR="00A86702">
              <w:rPr>
                <w:rFonts w:ascii="Arial Narrow" w:hAnsi="Arial Narrow"/>
                <w:b w:val="0"/>
                <w:szCs w:val="24"/>
              </w:rPr>
              <w:t>E</w:t>
            </w:r>
            <w:r w:rsidR="00AA2E9F" w:rsidRPr="00AA2E9F">
              <w:rPr>
                <w:rFonts w:ascii="Arial Narrow" w:hAnsi="Arial Narrow"/>
                <w:b w:val="0"/>
                <w:szCs w:val="24"/>
              </w:rPr>
              <w:t>stable</w:t>
            </w:r>
            <w:r w:rsidR="00A86702">
              <w:rPr>
                <w:rFonts w:ascii="Arial Narrow" w:hAnsi="Arial Narrow"/>
                <w:b w:val="0"/>
                <w:szCs w:val="24"/>
              </w:rPr>
              <w:t>cer</w:t>
            </w:r>
            <w:r w:rsidR="00AA2E9F" w:rsidRPr="00AA2E9F">
              <w:rPr>
                <w:rFonts w:ascii="Arial Narrow" w:hAnsi="Arial Narrow"/>
                <w:b w:val="0"/>
                <w:szCs w:val="24"/>
              </w:rPr>
              <w:t xml:space="preserve"> al menos un indicador del Seguimiento Financiero del 80% de las Participaciones, que corresponden al Estado definir su destino y distribución. Si bien es cierto de acuerdo a la normatividad no se trata de recursos etiquetados cuyo destino impacte directamente en programas, si debe establecerse un indicador de Eficiencia Presupuestal similar al establecido para el seguimiento del 20% de las Participaciones que corresponden a los Municipios</w:t>
            </w:r>
            <w:r w:rsidR="00AA2E9F">
              <w:rPr>
                <w:rFonts w:ascii="Arial Narrow" w:hAnsi="Arial Narrow"/>
                <w:szCs w:val="24"/>
              </w:rPr>
              <w:t xml:space="preserve"> </w:t>
            </w:r>
          </w:p>
        </w:tc>
      </w:tr>
      <w:tr w:rsidR="00AA2E9F" w:rsidRPr="000131A6" w:rsidTr="00AA2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tcPr>
          <w:p w:rsidR="00AA2E9F" w:rsidRPr="00AA2E9F" w:rsidRDefault="00AA2E9F" w:rsidP="00AA2E9F">
            <w:pPr>
              <w:autoSpaceDE w:val="0"/>
              <w:autoSpaceDN w:val="0"/>
              <w:adjustRightInd w:val="0"/>
              <w:spacing w:before="120" w:after="120"/>
              <w:ind w:left="425"/>
              <w:jc w:val="both"/>
              <w:rPr>
                <w:rFonts w:ascii="Arial Narrow" w:hAnsi="Arial Narrow"/>
                <w:szCs w:val="24"/>
              </w:rPr>
            </w:pPr>
            <w:r w:rsidRPr="00AA2E9F">
              <w:rPr>
                <w:rFonts w:ascii="Arial Narrow" w:eastAsia="MS Mincho" w:hAnsi="Arial Narrow" w:cs="Times New Roman"/>
                <w:bCs w:val="0"/>
                <w:sz w:val="24"/>
                <w:szCs w:val="24"/>
              </w:rPr>
              <w:t>5.</w:t>
            </w:r>
            <w:r w:rsidR="00A86702">
              <w:rPr>
                <w:rFonts w:ascii="Arial Narrow" w:eastAsia="MS Mincho" w:hAnsi="Arial Narrow" w:cs="Times New Roman"/>
                <w:bCs w:val="0"/>
                <w:sz w:val="24"/>
                <w:szCs w:val="24"/>
              </w:rPr>
              <w:t xml:space="preserve"> </w:t>
            </w:r>
            <w:r w:rsidR="00A86702" w:rsidRPr="00A86702">
              <w:rPr>
                <w:rFonts w:ascii="Arial Narrow" w:hAnsi="Arial Narrow"/>
                <w:b w:val="0"/>
                <w:szCs w:val="24"/>
              </w:rPr>
              <w:t>Redactar una MIR para el Seguimiento de los objetivos generales de los Recursos recibidos por Participaciones Federales a Entidades y Municipios</w:t>
            </w:r>
            <w:r w:rsidR="00A86702">
              <w:rPr>
                <w:rFonts w:ascii="Arial Narrow" w:hAnsi="Arial Narrow"/>
                <w:szCs w:val="24"/>
              </w:rPr>
              <w:t xml:space="preserve">. </w:t>
            </w:r>
            <w:r w:rsidRPr="00AA2E9F">
              <w:rPr>
                <w:rFonts w:ascii="Arial Narrow" w:hAnsi="Arial Narrow"/>
                <w:b w:val="0"/>
                <w:szCs w:val="24"/>
              </w:rPr>
              <w:t>Al no ser un programa Presupuestario no cuenta con elementos de seguimiento programático, por lo que no es posible establecer objetivos específicos respecto al impacto directo que genera dichos recursos</w:t>
            </w:r>
          </w:p>
        </w:tc>
      </w:tr>
      <w:tr w:rsidR="00824F3A" w:rsidRPr="000131A6" w:rsidTr="00AA2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tcPr>
          <w:p w:rsidR="005A24D0" w:rsidRPr="005A24D0" w:rsidRDefault="00824F3A" w:rsidP="005A24D0">
            <w:pPr>
              <w:autoSpaceDE w:val="0"/>
              <w:autoSpaceDN w:val="0"/>
              <w:adjustRightInd w:val="0"/>
              <w:spacing w:before="120" w:after="120"/>
              <w:ind w:left="425"/>
              <w:jc w:val="both"/>
              <w:rPr>
                <w:rFonts w:ascii="Arial Narrow" w:eastAsia="MS Mincho" w:hAnsi="Arial Narrow" w:cs="Times New Roman"/>
                <w:sz w:val="24"/>
                <w:szCs w:val="24"/>
              </w:rPr>
            </w:pPr>
            <w:r>
              <w:rPr>
                <w:rFonts w:ascii="Arial Narrow" w:eastAsia="MS Mincho" w:hAnsi="Arial Narrow" w:cs="Times New Roman"/>
                <w:bCs w:val="0"/>
                <w:sz w:val="24"/>
                <w:szCs w:val="24"/>
              </w:rPr>
              <w:t xml:space="preserve">6. </w:t>
            </w:r>
            <w:r>
              <w:rPr>
                <w:rFonts w:ascii="Arial Narrow" w:eastAsia="MS Mincho" w:hAnsi="Arial Narrow" w:cs="Times New Roman"/>
                <w:b w:val="0"/>
                <w:bCs w:val="0"/>
                <w:sz w:val="24"/>
                <w:szCs w:val="24"/>
              </w:rPr>
              <w:t xml:space="preserve">Trazar metas respecto al </w:t>
            </w:r>
            <w:r w:rsidR="00133282">
              <w:rPr>
                <w:rFonts w:ascii="Arial Narrow" w:eastAsia="MS Mincho" w:hAnsi="Arial Narrow" w:cs="Times New Roman"/>
                <w:b w:val="0"/>
                <w:bCs w:val="0"/>
                <w:sz w:val="24"/>
                <w:szCs w:val="24"/>
              </w:rPr>
              <w:t xml:space="preserve">impacto por </w:t>
            </w:r>
            <w:r>
              <w:rPr>
                <w:rFonts w:ascii="Arial Narrow" w:eastAsia="MS Mincho" w:hAnsi="Arial Narrow" w:cs="Times New Roman"/>
                <w:b w:val="0"/>
                <w:bCs w:val="0"/>
                <w:sz w:val="24"/>
                <w:szCs w:val="24"/>
              </w:rPr>
              <w:t xml:space="preserve">incremento de recursos por Participaciones, no debe ser </w:t>
            </w:r>
            <w:r w:rsidR="00133282">
              <w:rPr>
                <w:rFonts w:ascii="Arial Narrow" w:eastAsia="MS Mincho" w:hAnsi="Arial Narrow" w:cs="Times New Roman"/>
                <w:b w:val="0"/>
                <w:bCs w:val="0"/>
                <w:sz w:val="24"/>
                <w:szCs w:val="24"/>
              </w:rPr>
              <w:t>solamente el</w:t>
            </w:r>
            <w:r>
              <w:rPr>
                <w:rFonts w:ascii="Arial Narrow" w:eastAsia="MS Mincho" w:hAnsi="Arial Narrow" w:cs="Times New Roman"/>
                <w:b w:val="0"/>
                <w:bCs w:val="0"/>
                <w:sz w:val="24"/>
                <w:szCs w:val="24"/>
              </w:rPr>
              <w:t xml:space="preserve"> </w:t>
            </w:r>
            <w:r w:rsidR="00A86702">
              <w:rPr>
                <w:rFonts w:ascii="Arial Narrow" w:eastAsia="MS Mincho" w:hAnsi="Arial Narrow" w:cs="Times New Roman"/>
                <w:b w:val="0"/>
                <w:bCs w:val="0"/>
                <w:sz w:val="24"/>
                <w:szCs w:val="24"/>
              </w:rPr>
              <w:t xml:space="preserve">seguimiento Presupuestal, </w:t>
            </w:r>
            <w:r>
              <w:rPr>
                <w:rFonts w:ascii="Arial Narrow" w:eastAsia="MS Mincho" w:hAnsi="Arial Narrow" w:cs="Times New Roman"/>
                <w:b w:val="0"/>
                <w:bCs w:val="0"/>
                <w:sz w:val="24"/>
                <w:szCs w:val="24"/>
              </w:rPr>
              <w:t xml:space="preserve">debe darse mayor importancia a indicadores </w:t>
            </w:r>
            <w:r w:rsidR="00133282">
              <w:rPr>
                <w:rFonts w:ascii="Arial Narrow" w:eastAsia="MS Mincho" w:hAnsi="Arial Narrow" w:cs="Times New Roman"/>
                <w:b w:val="0"/>
                <w:bCs w:val="0"/>
                <w:sz w:val="24"/>
                <w:szCs w:val="24"/>
              </w:rPr>
              <w:t xml:space="preserve">cuyo </w:t>
            </w:r>
            <w:r w:rsidR="00133282" w:rsidRPr="00133282">
              <w:rPr>
                <w:rFonts w:ascii="Arial Narrow" w:eastAsia="MS Mincho" w:hAnsi="Arial Narrow" w:cs="Times New Roman"/>
                <w:b w:val="0"/>
                <w:bCs w:val="0"/>
                <w:sz w:val="24"/>
                <w:szCs w:val="24"/>
              </w:rPr>
              <w:t xml:space="preserve">objetivo de medición, </w:t>
            </w:r>
            <w:r w:rsidR="00133282">
              <w:rPr>
                <w:rFonts w:ascii="Arial Narrow" w:eastAsia="MS Mincho" w:hAnsi="Arial Narrow" w:cs="Times New Roman"/>
                <w:b w:val="0"/>
                <w:bCs w:val="0"/>
                <w:sz w:val="24"/>
                <w:szCs w:val="24"/>
              </w:rPr>
              <w:t>sea</w:t>
            </w:r>
            <w:r>
              <w:rPr>
                <w:rFonts w:ascii="Arial Narrow" w:eastAsia="MS Mincho" w:hAnsi="Arial Narrow" w:cs="Times New Roman"/>
                <w:b w:val="0"/>
                <w:bCs w:val="0"/>
                <w:sz w:val="24"/>
                <w:szCs w:val="24"/>
              </w:rPr>
              <w:t>:</w:t>
            </w:r>
          </w:p>
          <w:p w:rsidR="00824F3A" w:rsidRDefault="00824F3A" w:rsidP="00AA2E9F">
            <w:pPr>
              <w:autoSpaceDE w:val="0"/>
              <w:autoSpaceDN w:val="0"/>
              <w:adjustRightInd w:val="0"/>
              <w:spacing w:before="120" w:after="120"/>
              <w:ind w:left="425"/>
              <w:jc w:val="both"/>
              <w:rPr>
                <w:rFonts w:ascii="Arial Narrow" w:eastAsia="MS Mincho" w:hAnsi="Arial Narrow" w:cs="Times New Roman"/>
                <w:bCs w:val="0"/>
                <w:sz w:val="24"/>
                <w:szCs w:val="24"/>
              </w:rPr>
            </w:pPr>
            <w:r>
              <w:rPr>
                <w:rFonts w:ascii="Arial Narrow" w:eastAsia="MS Mincho" w:hAnsi="Arial Narrow" w:cs="Times New Roman"/>
                <w:bCs w:val="0"/>
                <w:sz w:val="24"/>
                <w:szCs w:val="24"/>
              </w:rPr>
              <w:t>1) Eficiencia recaudatoria</w:t>
            </w:r>
          </w:p>
          <w:p w:rsidR="00824F3A" w:rsidRDefault="00824F3A" w:rsidP="00AA2E9F">
            <w:pPr>
              <w:autoSpaceDE w:val="0"/>
              <w:autoSpaceDN w:val="0"/>
              <w:adjustRightInd w:val="0"/>
              <w:spacing w:before="120" w:after="120"/>
              <w:ind w:left="425"/>
              <w:jc w:val="both"/>
              <w:rPr>
                <w:rFonts w:ascii="Arial Narrow" w:eastAsia="MS Mincho" w:hAnsi="Arial Narrow" w:cs="Times New Roman"/>
                <w:bCs w:val="0"/>
                <w:sz w:val="24"/>
                <w:szCs w:val="24"/>
              </w:rPr>
            </w:pPr>
            <w:r>
              <w:rPr>
                <w:rFonts w:ascii="Arial Narrow" w:eastAsia="MS Mincho" w:hAnsi="Arial Narrow" w:cs="Times New Roman"/>
                <w:bCs w:val="0"/>
                <w:sz w:val="24"/>
                <w:szCs w:val="24"/>
              </w:rPr>
              <w:t xml:space="preserve">2) Índice de dependencia de las Participaciones Federales </w:t>
            </w:r>
          </w:p>
          <w:p w:rsidR="00824F3A" w:rsidRDefault="00824F3A" w:rsidP="00AA2E9F">
            <w:pPr>
              <w:autoSpaceDE w:val="0"/>
              <w:autoSpaceDN w:val="0"/>
              <w:adjustRightInd w:val="0"/>
              <w:spacing w:before="120" w:after="120"/>
              <w:ind w:left="425"/>
              <w:jc w:val="both"/>
              <w:rPr>
                <w:rFonts w:ascii="Arial Narrow" w:eastAsia="MS Mincho" w:hAnsi="Arial Narrow" w:cs="Times New Roman"/>
                <w:bCs w:val="0"/>
                <w:sz w:val="24"/>
                <w:szCs w:val="24"/>
              </w:rPr>
            </w:pPr>
            <w:r>
              <w:rPr>
                <w:rFonts w:ascii="Arial Narrow" w:eastAsia="MS Mincho" w:hAnsi="Arial Narrow" w:cs="Times New Roman"/>
                <w:bCs w:val="0"/>
                <w:sz w:val="24"/>
                <w:szCs w:val="24"/>
              </w:rPr>
              <w:t>3) Autonomía de Gestión Financiera</w:t>
            </w:r>
          </w:p>
          <w:p w:rsidR="00824F3A" w:rsidRDefault="00824F3A" w:rsidP="00AA2E9F">
            <w:pPr>
              <w:autoSpaceDE w:val="0"/>
              <w:autoSpaceDN w:val="0"/>
              <w:adjustRightInd w:val="0"/>
              <w:spacing w:before="120" w:after="120"/>
              <w:ind w:left="425"/>
              <w:jc w:val="both"/>
              <w:rPr>
                <w:rFonts w:ascii="Arial Narrow" w:eastAsia="MS Mincho" w:hAnsi="Arial Narrow" w:cs="Times New Roman"/>
                <w:bCs w:val="0"/>
                <w:sz w:val="24"/>
                <w:szCs w:val="24"/>
              </w:rPr>
            </w:pPr>
            <w:r>
              <w:rPr>
                <w:rFonts w:ascii="Arial Narrow" w:eastAsia="MS Mincho" w:hAnsi="Arial Narrow" w:cs="Times New Roman"/>
                <w:bCs w:val="0"/>
                <w:sz w:val="24"/>
                <w:szCs w:val="24"/>
              </w:rPr>
              <w:t>4) Grado o nivel de Morosidad a nivel Municipal y Estatal, respecto a la recaudación de los Conceptos participables.</w:t>
            </w:r>
          </w:p>
          <w:p w:rsidR="00824F3A" w:rsidRPr="00824F3A" w:rsidRDefault="00824F3A" w:rsidP="00AA2E9F">
            <w:pPr>
              <w:autoSpaceDE w:val="0"/>
              <w:autoSpaceDN w:val="0"/>
              <w:adjustRightInd w:val="0"/>
              <w:spacing w:before="120" w:after="120"/>
              <w:ind w:left="425"/>
              <w:jc w:val="both"/>
              <w:rPr>
                <w:rFonts w:ascii="Arial Narrow" w:eastAsia="MS Mincho" w:hAnsi="Arial Narrow" w:cs="Times New Roman"/>
                <w:b w:val="0"/>
                <w:bCs w:val="0"/>
                <w:sz w:val="24"/>
                <w:szCs w:val="24"/>
              </w:rPr>
            </w:pPr>
            <w:r>
              <w:rPr>
                <w:rFonts w:ascii="Arial Narrow" w:eastAsia="MS Mincho" w:hAnsi="Arial Narrow" w:cs="Times New Roman"/>
                <w:bCs w:val="0"/>
                <w:sz w:val="24"/>
                <w:szCs w:val="24"/>
              </w:rPr>
              <w:t>5) Crecimiento económico Estatal respecto al incremento en los fondos participables.</w:t>
            </w:r>
          </w:p>
        </w:tc>
      </w:tr>
    </w:tbl>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tbl>
      <w:tblPr>
        <w:tblStyle w:val="MediumShading1-Accent6"/>
        <w:tblW w:w="0" w:type="auto"/>
        <w:tblLook w:val="04A0" w:firstRow="1" w:lastRow="0" w:firstColumn="1" w:lastColumn="0" w:noHBand="0" w:noVBand="1"/>
      </w:tblPr>
      <w:tblGrid>
        <w:gridCol w:w="8818"/>
      </w:tblGrid>
      <w:tr w:rsidR="00445CB0" w:rsidRPr="000131A6" w:rsidTr="009A3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A127E0" w:rsidRDefault="00445CB0" w:rsidP="00445CB0">
            <w:pPr>
              <w:pStyle w:val="ListParagraph"/>
              <w:numPr>
                <w:ilvl w:val="0"/>
                <w:numId w:val="4"/>
              </w:numPr>
              <w:autoSpaceDE w:val="0"/>
              <w:autoSpaceDN w:val="0"/>
              <w:adjustRightInd w:val="0"/>
              <w:spacing w:before="120" w:after="120"/>
              <w:ind w:left="425"/>
              <w:contextualSpacing/>
              <w:jc w:val="both"/>
              <w:rPr>
                <w:rFonts w:ascii="Arial Narrow" w:hAnsi="Arial Narrow"/>
                <w:sz w:val="32"/>
                <w:szCs w:val="24"/>
              </w:rPr>
            </w:pPr>
            <w:r w:rsidRPr="00A127E0">
              <w:rPr>
                <w:rFonts w:ascii="Arial Narrow" w:hAnsi="Arial Narrow"/>
                <w:sz w:val="32"/>
                <w:szCs w:val="24"/>
              </w:rPr>
              <w:t>DATOS DE LA INSTANCIA EVALUADORA</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Nombre del coordinador de la evaluación:</w:t>
            </w:r>
          </w:p>
          <w:p w:rsidR="00445CB0" w:rsidRPr="00A127E0" w:rsidRDefault="00445CB0" w:rsidP="00557BDB">
            <w:pPr>
              <w:pStyle w:val="ListParagraph"/>
              <w:autoSpaceDE w:val="0"/>
              <w:autoSpaceDN w:val="0"/>
              <w:adjustRightInd w:val="0"/>
              <w:spacing w:before="120" w:after="120"/>
              <w:ind w:left="425"/>
              <w:contextualSpacing/>
              <w:jc w:val="both"/>
              <w:rPr>
                <w:rFonts w:ascii="Arial Narrow" w:hAnsi="Arial Narrow"/>
                <w:b w:val="0"/>
                <w:szCs w:val="24"/>
              </w:rPr>
            </w:pPr>
            <w:r w:rsidRPr="00A127E0">
              <w:rPr>
                <w:rFonts w:ascii="Arial Narrow" w:hAnsi="Arial Narrow"/>
                <w:b w:val="0"/>
                <w:szCs w:val="24"/>
              </w:rPr>
              <w:t>Agustín Sandez Pérez</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Cargo:</w:t>
            </w:r>
          </w:p>
          <w:p w:rsidR="00445CB0" w:rsidRPr="000131A6" w:rsidRDefault="00445CB0" w:rsidP="00557BDB">
            <w:pPr>
              <w:pStyle w:val="ListParagraph"/>
              <w:autoSpaceDE w:val="0"/>
              <w:autoSpaceDN w:val="0"/>
              <w:adjustRightInd w:val="0"/>
              <w:spacing w:before="120" w:after="120"/>
              <w:ind w:left="425"/>
              <w:contextualSpacing/>
              <w:jc w:val="both"/>
              <w:rPr>
                <w:rFonts w:ascii="Arial Narrow" w:hAnsi="Arial Narrow"/>
                <w:szCs w:val="24"/>
              </w:rPr>
            </w:pPr>
            <w:r w:rsidRPr="00A127E0">
              <w:rPr>
                <w:rFonts w:ascii="Arial Narrow" w:hAnsi="Arial Narrow"/>
                <w:b w:val="0"/>
                <w:szCs w:val="24"/>
              </w:rPr>
              <w:t>Coordinador de la Evaluación</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Institución a la que pertenece:</w:t>
            </w:r>
          </w:p>
          <w:p w:rsidR="00445CB0" w:rsidRPr="000131A6" w:rsidRDefault="00445CB0" w:rsidP="00557BDB">
            <w:pPr>
              <w:pStyle w:val="ListParagraph"/>
              <w:autoSpaceDE w:val="0"/>
              <w:autoSpaceDN w:val="0"/>
              <w:adjustRightInd w:val="0"/>
              <w:spacing w:before="120" w:after="120"/>
              <w:ind w:left="425"/>
              <w:contextualSpacing/>
              <w:jc w:val="both"/>
              <w:rPr>
                <w:rFonts w:ascii="Arial Narrow" w:hAnsi="Arial Narrow"/>
                <w:szCs w:val="24"/>
              </w:rPr>
            </w:pPr>
            <w:r w:rsidRPr="00A127E0">
              <w:rPr>
                <w:rFonts w:ascii="Arial Narrow" w:hAnsi="Arial Narrow"/>
                <w:b w:val="0"/>
                <w:szCs w:val="24"/>
              </w:rPr>
              <w:t>Grupo de Investigación en Consultoría Especializada</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Principales colaboradores:</w:t>
            </w:r>
          </w:p>
          <w:p w:rsidR="00445CB0" w:rsidRPr="000131A6" w:rsidRDefault="00445CB0" w:rsidP="00557BDB">
            <w:pPr>
              <w:pStyle w:val="ListParagraph"/>
              <w:autoSpaceDE w:val="0"/>
              <w:autoSpaceDN w:val="0"/>
              <w:adjustRightInd w:val="0"/>
              <w:spacing w:before="120" w:after="120"/>
              <w:ind w:left="425"/>
              <w:contextualSpacing/>
              <w:jc w:val="both"/>
              <w:rPr>
                <w:rFonts w:ascii="Arial Narrow" w:hAnsi="Arial Narrow"/>
                <w:szCs w:val="24"/>
              </w:rPr>
            </w:pPr>
            <w:r>
              <w:rPr>
                <w:rFonts w:ascii="Arial Narrow" w:hAnsi="Arial Narrow"/>
                <w:szCs w:val="24"/>
              </w:rPr>
              <w:t>NA</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Correo electrónico del coordinador de la evaluación:</w:t>
            </w:r>
          </w:p>
          <w:p w:rsidR="00445CB0" w:rsidRPr="00A127E0" w:rsidRDefault="00445CB0" w:rsidP="00557BDB">
            <w:pPr>
              <w:pStyle w:val="ListParagraph"/>
              <w:autoSpaceDE w:val="0"/>
              <w:autoSpaceDN w:val="0"/>
              <w:adjustRightInd w:val="0"/>
              <w:spacing w:before="120" w:after="120"/>
              <w:ind w:left="425"/>
              <w:contextualSpacing/>
              <w:jc w:val="both"/>
              <w:rPr>
                <w:rFonts w:ascii="Arial Narrow" w:hAnsi="Arial Narrow"/>
                <w:b w:val="0"/>
                <w:szCs w:val="24"/>
              </w:rPr>
            </w:pPr>
            <w:r w:rsidRPr="00A127E0">
              <w:rPr>
                <w:rFonts w:ascii="Arial Narrow" w:hAnsi="Arial Narrow"/>
                <w:b w:val="0"/>
                <w:szCs w:val="24"/>
              </w:rPr>
              <w:t>agustin.sandez@uabc.mx</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5"/>
              <w:contextualSpacing/>
              <w:jc w:val="both"/>
              <w:rPr>
                <w:rFonts w:ascii="Arial Narrow" w:hAnsi="Arial Narrow"/>
                <w:szCs w:val="24"/>
              </w:rPr>
            </w:pPr>
            <w:r w:rsidRPr="000131A6">
              <w:rPr>
                <w:rFonts w:ascii="Arial Narrow" w:hAnsi="Arial Narrow"/>
                <w:szCs w:val="24"/>
              </w:rPr>
              <w:t>Teléfono (con clave lada):</w:t>
            </w:r>
          </w:p>
          <w:p w:rsidR="00445CB0" w:rsidRPr="00A127E0" w:rsidRDefault="00445CB0" w:rsidP="00557BDB">
            <w:pPr>
              <w:pStyle w:val="ListParagraph"/>
              <w:autoSpaceDE w:val="0"/>
              <w:autoSpaceDN w:val="0"/>
              <w:adjustRightInd w:val="0"/>
              <w:spacing w:before="120" w:after="120"/>
              <w:ind w:left="425"/>
              <w:contextualSpacing/>
              <w:jc w:val="both"/>
              <w:rPr>
                <w:rFonts w:ascii="Arial Narrow" w:hAnsi="Arial Narrow"/>
                <w:b w:val="0"/>
                <w:szCs w:val="24"/>
              </w:rPr>
            </w:pPr>
            <w:r w:rsidRPr="00A127E0">
              <w:rPr>
                <w:rFonts w:ascii="Arial Narrow" w:hAnsi="Arial Narrow"/>
                <w:b w:val="0"/>
                <w:szCs w:val="24"/>
              </w:rPr>
              <w:t>686 1-60-58-32</w:t>
            </w:r>
          </w:p>
        </w:tc>
      </w:tr>
    </w:tbl>
    <w:p w:rsidR="00445CB0" w:rsidRDefault="00445CB0" w:rsidP="00445CB0">
      <w:pPr>
        <w:autoSpaceDE w:val="0"/>
        <w:autoSpaceDN w:val="0"/>
        <w:adjustRightInd w:val="0"/>
        <w:spacing w:after="0" w:line="240" w:lineRule="auto"/>
        <w:jc w:val="both"/>
        <w:rPr>
          <w:rFonts w:ascii="Arial Narrow" w:hAnsi="Arial Narrow" w:cs="Times New Roman"/>
          <w:sz w:val="24"/>
          <w:szCs w:val="24"/>
        </w:rPr>
      </w:pPr>
    </w:p>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tbl>
      <w:tblPr>
        <w:tblStyle w:val="MediumShading1-Accent6"/>
        <w:tblW w:w="0" w:type="auto"/>
        <w:tblLook w:val="04A0" w:firstRow="1" w:lastRow="0" w:firstColumn="1" w:lastColumn="0" w:noHBand="0" w:noVBand="1"/>
      </w:tblPr>
      <w:tblGrid>
        <w:gridCol w:w="8818"/>
      </w:tblGrid>
      <w:tr w:rsidR="00445CB0" w:rsidRPr="000131A6" w:rsidTr="009A3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291A60" w:rsidRDefault="00445CB0" w:rsidP="00445CB0">
            <w:pPr>
              <w:pStyle w:val="ListParagraph"/>
              <w:numPr>
                <w:ilvl w:val="0"/>
                <w:numId w:val="4"/>
              </w:numPr>
              <w:autoSpaceDE w:val="0"/>
              <w:autoSpaceDN w:val="0"/>
              <w:adjustRightInd w:val="0"/>
              <w:spacing w:before="120" w:after="120"/>
              <w:ind w:left="425"/>
              <w:contextualSpacing/>
              <w:jc w:val="both"/>
              <w:rPr>
                <w:rFonts w:ascii="Arial Narrow" w:hAnsi="Arial Narrow"/>
                <w:sz w:val="32"/>
                <w:szCs w:val="24"/>
              </w:rPr>
            </w:pPr>
            <w:r w:rsidRPr="00291A60">
              <w:rPr>
                <w:rFonts w:ascii="Arial Narrow" w:hAnsi="Arial Narrow"/>
                <w:sz w:val="32"/>
                <w:szCs w:val="24"/>
              </w:rPr>
              <w:t>IDENTIFICACIÓN DEL (LOS) PROGRAMA (S)</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Nombre del (los) programa (s) evaluado (s):</w:t>
            </w:r>
          </w:p>
          <w:p w:rsidR="00445CB0" w:rsidRDefault="00445CB0" w:rsidP="00557BDB">
            <w:pPr>
              <w:pStyle w:val="ListParagraph"/>
              <w:autoSpaceDE w:val="0"/>
              <w:autoSpaceDN w:val="0"/>
              <w:adjustRightInd w:val="0"/>
              <w:spacing w:before="120" w:after="120"/>
              <w:ind w:left="426"/>
              <w:contextualSpacing/>
              <w:jc w:val="both"/>
              <w:rPr>
                <w:rFonts w:ascii="Arial Narrow" w:hAnsi="Arial Narrow"/>
                <w:b w:val="0"/>
                <w:szCs w:val="24"/>
              </w:rPr>
            </w:pPr>
          </w:p>
          <w:p w:rsidR="00445CB0" w:rsidRPr="00A127E0" w:rsidRDefault="00133282" w:rsidP="00557BDB">
            <w:pPr>
              <w:pStyle w:val="ListParagraph"/>
              <w:autoSpaceDE w:val="0"/>
              <w:autoSpaceDN w:val="0"/>
              <w:adjustRightInd w:val="0"/>
              <w:spacing w:before="120" w:after="120"/>
              <w:ind w:left="426"/>
              <w:contextualSpacing/>
              <w:jc w:val="both"/>
              <w:rPr>
                <w:rFonts w:ascii="Arial Narrow" w:hAnsi="Arial Narrow"/>
                <w:b w:val="0"/>
                <w:szCs w:val="24"/>
              </w:rPr>
            </w:pPr>
            <w:r w:rsidRPr="00133282">
              <w:rPr>
                <w:rFonts w:ascii="Arial Narrow" w:hAnsi="Arial Narrow"/>
                <w:b w:val="0"/>
                <w:szCs w:val="24"/>
              </w:rPr>
              <w:t>Participaciones a Entidades Federativas y Municipios</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Siglas:</w:t>
            </w:r>
          </w:p>
          <w:p w:rsidR="00445CB0" w:rsidRDefault="00445CB0" w:rsidP="00557BDB">
            <w:pPr>
              <w:pStyle w:val="ListParagraph"/>
              <w:autoSpaceDE w:val="0"/>
              <w:autoSpaceDN w:val="0"/>
              <w:adjustRightInd w:val="0"/>
              <w:spacing w:before="120" w:after="120"/>
              <w:ind w:left="426"/>
              <w:contextualSpacing/>
              <w:jc w:val="both"/>
              <w:rPr>
                <w:rFonts w:ascii="Arial Narrow" w:hAnsi="Arial Narrow"/>
                <w:b w:val="0"/>
                <w:szCs w:val="24"/>
              </w:rPr>
            </w:pPr>
          </w:p>
          <w:p w:rsidR="00445CB0" w:rsidRPr="000131A6" w:rsidRDefault="00B276F4" w:rsidP="00557BDB">
            <w:pPr>
              <w:pStyle w:val="ListParagraph"/>
              <w:autoSpaceDE w:val="0"/>
              <w:autoSpaceDN w:val="0"/>
              <w:adjustRightInd w:val="0"/>
              <w:spacing w:before="120" w:after="120"/>
              <w:ind w:left="426"/>
              <w:contextualSpacing/>
              <w:jc w:val="both"/>
              <w:rPr>
                <w:rFonts w:ascii="Arial Narrow" w:hAnsi="Arial Narrow"/>
                <w:szCs w:val="24"/>
              </w:rPr>
            </w:pPr>
            <w:r w:rsidRPr="00B276F4">
              <w:rPr>
                <w:rFonts w:ascii="Arial Narrow" w:hAnsi="Arial Narrow"/>
                <w:b w:val="0"/>
                <w:szCs w:val="24"/>
              </w:rPr>
              <w:t>Ramo 28 Participaciones Federales</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Ente público coordinador del (los) programa (s):</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Poder público al que pertenece (n) el (los) programa (s):</w:t>
            </w:r>
          </w:p>
          <w:p w:rsidR="00445CB0" w:rsidRPr="000131A6" w:rsidRDefault="00445CB0" w:rsidP="00557BDB">
            <w:pPr>
              <w:autoSpaceDE w:val="0"/>
              <w:autoSpaceDN w:val="0"/>
              <w:adjustRightInd w:val="0"/>
              <w:spacing w:before="120" w:after="120"/>
              <w:jc w:val="both"/>
              <w:rPr>
                <w:rFonts w:ascii="Arial Narrow" w:hAnsi="Arial Narrow" w:cs="Times New Roman"/>
                <w:sz w:val="24"/>
                <w:szCs w:val="24"/>
              </w:rPr>
            </w:pPr>
            <w:r w:rsidRPr="000131A6">
              <w:rPr>
                <w:rFonts w:ascii="Arial Narrow" w:hAnsi="Arial Narrow" w:cs="Times New Roman"/>
                <w:sz w:val="24"/>
                <w:szCs w:val="24"/>
              </w:rPr>
              <w:t>Poder Ejecutivo__</w:t>
            </w:r>
            <w:r>
              <w:rPr>
                <w:rFonts w:ascii="Arial Narrow" w:hAnsi="Arial Narrow" w:cs="Times New Roman"/>
                <w:sz w:val="24"/>
                <w:szCs w:val="24"/>
              </w:rPr>
              <w:t>X</w:t>
            </w:r>
            <w:r w:rsidRPr="000131A6">
              <w:rPr>
                <w:rFonts w:ascii="Arial Narrow" w:hAnsi="Arial Narrow" w:cs="Times New Roman"/>
                <w:sz w:val="24"/>
                <w:szCs w:val="24"/>
              </w:rPr>
              <w:t>_ Poder Legislativo____ Poder Judicial____ Ente Autónomo____</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Ámbito gubernamental al que pertenece (n) el (los) programa (s):</w:t>
            </w:r>
          </w:p>
          <w:p w:rsidR="00445CB0" w:rsidRPr="000131A6" w:rsidRDefault="00445CB0" w:rsidP="00557BDB">
            <w:pPr>
              <w:autoSpaceDE w:val="0"/>
              <w:autoSpaceDN w:val="0"/>
              <w:adjustRightInd w:val="0"/>
              <w:spacing w:before="120" w:after="120"/>
              <w:jc w:val="both"/>
              <w:rPr>
                <w:rFonts w:ascii="Arial Narrow" w:hAnsi="Arial Narrow" w:cs="Times New Roman"/>
                <w:sz w:val="24"/>
                <w:szCs w:val="24"/>
              </w:rPr>
            </w:pPr>
            <w:r w:rsidRPr="000131A6">
              <w:rPr>
                <w:rFonts w:ascii="Arial Narrow" w:hAnsi="Arial Narrow" w:cs="Times New Roman"/>
                <w:sz w:val="24"/>
                <w:szCs w:val="24"/>
              </w:rPr>
              <w:t>Federal_</w:t>
            </w:r>
            <w:r>
              <w:rPr>
                <w:rFonts w:ascii="Arial Narrow" w:hAnsi="Arial Narrow" w:cs="Times New Roman"/>
                <w:sz w:val="24"/>
                <w:szCs w:val="24"/>
              </w:rPr>
              <w:t>X</w:t>
            </w:r>
            <w:r w:rsidRPr="000131A6">
              <w:rPr>
                <w:rFonts w:ascii="Arial Narrow" w:hAnsi="Arial Narrow" w:cs="Times New Roman"/>
                <w:sz w:val="24"/>
                <w:szCs w:val="24"/>
              </w:rPr>
              <w:t>__ Estatal____ Municipal____</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Nombre de la (s) unidad (es) administrativa (s) y del (los) titular (es) a cargo del (los) programa (s):</w:t>
            </w:r>
          </w:p>
          <w:p w:rsidR="00445CB0" w:rsidRDefault="00445CB0" w:rsidP="00557BDB">
            <w:pPr>
              <w:pStyle w:val="ListParagraph"/>
              <w:autoSpaceDE w:val="0"/>
              <w:autoSpaceDN w:val="0"/>
              <w:adjustRightInd w:val="0"/>
              <w:spacing w:before="120" w:after="120"/>
              <w:ind w:left="426"/>
              <w:contextualSpacing/>
              <w:jc w:val="both"/>
              <w:rPr>
                <w:rFonts w:ascii="Arial Narrow" w:hAnsi="Arial Narrow"/>
                <w:b w:val="0"/>
                <w:szCs w:val="24"/>
              </w:rPr>
            </w:pPr>
          </w:p>
          <w:p w:rsidR="00B276F4" w:rsidRDefault="00B276F4" w:rsidP="00B276F4">
            <w:pPr>
              <w:pStyle w:val="ListParagraph"/>
              <w:autoSpaceDE w:val="0"/>
              <w:autoSpaceDN w:val="0"/>
              <w:adjustRightInd w:val="0"/>
              <w:spacing w:before="120" w:after="120"/>
              <w:ind w:left="426"/>
              <w:contextualSpacing/>
              <w:jc w:val="both"/>
              <w:rPr>
                <w:rFonts w:ascii="Arial Narrow" w:hAnsi="Arial Narrow"/>
                <w:b w:val="0"/>
                <w:szCs w:val="24"/>
              </w:rPr>
            </w:pPr>
            <w:r w:rsidRPr="00B276F4">
              <w:rPr>
                <w:rFonts w:ascii="Arial Narrow" w:hAnsi="Arial Narrow"/>
                <w:b w:val="0"/>
                <w:szCs w:val="24"/>
              </w:rPr>
              <w:t>Secretar</w:t>
            </w:r>
            <w:r>
              <w:rPr>
                <w:rFonts w:ascii="Arial Narrow" w:hAnsi="Arial Narrow"/>
                <w:b w:val="0"/>
                <w:szCs w:val="24"/>
              </w:rPr>
              <w:t>ía</w:t>
            </w:r>
            <w:r w:rsidRPr="00B276F4">
              <w:rPr>
                <w:rFonts w:ascii="Arial Narrow" w:hAnsi="Arial Narrow"/>
                <w:b w:val="0"/>
                <w:szCs w:val="24"/>
              </w:rPr>
              <w:t xml:space="preserve"> de Planeación y Finanzas del Estado</w:t>
            </w:r>
            <w:r>
              <w:rPr>
                <w:rFonts w:ascii="Arial Narrow" w:hAnsi="Arial Narrow"/>
                <w:b w:val="0"/>
                <w:szCs w:val="24"/>
              </w:rPr>
              <w:t xml:space="preserve"> (SPF BC)</w:t>
            </w:r>
            <w:r w:rsidR="008C1574">
              <w:rPr>
                <w:rFonts w:ascii="Arial Narrow" w:hAnsi="Arial Narrow"/>
                <w:b w:val="0"/>
                <w:szCs w:val="24"/>
              </w:rPr>
              <w:t>.</w:t>
            </w:r>
          </w:p>
          <w:p w:rsidR="00445CB0" w:rsidRDefault="00B276F4" w:rsidP="00B276F4">
            <w:pPr>
              <w:pStyle w:val="ListParagraph"/>
              <w:autoSpaceDE w:val="0"/>
              <w:autoSpaceDN w:val="0"/>
              <w:adjustRightInd w:val="0"/>
              <w:spacing w:before="120" w:after="120"/>
              <w:ind w:left="426"/>
              <w:contextualSpacing/>
              <w:jc w:val="both"/>
              <w:rPr>
                <w:rFonts w:ascii="Arial Narrow" w:hAnsi="Arial Narrow"/>
                <w:b w:val="0"/>
                <w:szCs w:val="24"/>
              </w:rPr>
            </w:pPr>
            <w:r w:rsidRPr="00B276F4">
              <w:rPr>
                <w:rFonts w:ascii="Arial Narrow" w:hAnsi="Arial Narrow"/>
                <w:b w:val="0"/>
                <w:szCs w:val="24"/>
              </w:rPr>
              <w:t>Bladimiro Hernández Díaz</w:t>
            </w:r>
            <w:r w:rsidR="008C1574">
              <w:rPr>
                <w:rFonts w:ascii="Arial Narrow" w:hAnsi="Arial Narrow"/>
                <w:b w:val="0"/>
                <w:szCs w:val="24"/>
              </w:rPr>
              <w:t>.</w:t>
            </w:r>
          </w:p>
          <w:p w:rsidR="00B276F4" w:rsidRPr="00B276F4" w:rsidRDefault="00B276F4" w:rsidP="00B276F4">
            <w:pPr>
              <w:pStyle w:val="ListParagraph"/>
              <w:autoSpaceDE w:val="0"/>
              <w:autoSpaceDN w:val="0"/>
              <w:adjustRightInd w:val="0"/>
              <w:spacing w:before="120" w:after="120"/>
              <w:ind w:left="426"/>
              <w:contextualSpacing/>
              <w:jc w:val="both"/>
              <w:rPr>
                <w:rFonts w:ascii="Arial Narrow" w:hAnsi="Arial Narrow"/>
                <w:b w:val="0"/>
                <w:szCs w:val="24"/>
              </w:rPr>
            </w:pPr>
            <w:r w:rsidRPr="00B276F4">
              <w:rPr>
                <w:rFonts w:ascii="Arial Narrow" w:hAnsi="Arial Narrow"/>
                <w:b w:val="0"/>
                <w:szCs w:val="24"/>
              </w:rPr>
              <w:t>Secretario de Planeación y Finanzas del Estado</w:t>
            </w:r>
            <w:r w:rsidR="008C1574">
              <w:rPr>
                <w:rFonts w:ascii="Arial Narrow" w:hAnsi="Arial Narrow"/>
                <w:b w:val="0"/>
                <w:szCs w:val="24"/>
              </w:rPr>
              <w:t>.</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Nombre de la (s) unidad (es) administrativa (s) a cargo del (los) programa (s):</w:t>
            </w:r>
          </w:p>
          <w:p w:rsidR="00445CB0" w:rsidRDefault="00445CB0" w:rsidP="00557BDB">
            <w:pPr>
              <w:pStyle w:val="ListParagraph"/>
              <w:autoSpaceDE w:val="0"/>
              <w:autoSpaceDN w:val="0"/>
              <w:adjustRightInd w:val="0"/>
              <w:spacing w:before="120" w:after="120"/>
              <w:ind w:left="426"/>
              <w:contextualSpacing/>
              <w:jc w:val="both"/>
              <w:rPr>
                <w:rFonts w:ascii="Arial Narrow" w:hAnsi="Arial Narrow"/>
                <w:b w:val="0"/>
                <w:szCs w:val="24"/>
              </w:rPr>
            </w:pPr>
          </w:p>
          <w:p w:rsidR="00DE329A" w:rsidRDefault="00DE329A" w:rsidP="00DE329A">
            <w:pPr>
              <w:pStyle w:val="ListParagraph"/>
              <w:autoSpaceDE w:val="0"/>
              <w:autoSpaceDN w:val="0"/>
              <w:adjustRightInd w:val="0"/>
              <w:spacing w:before="120" w:after="120"/>
              <w:ind w:left="426"/>
              <w:contextualSpacing/>
              <w:jc w:val="both"/>
              <w:rPr>
                <w:rFonts w:ascii="Arial Narrow" w:hAnsi="Arial Narrow"/>
                <w:b w:val="0"/>
                <w:szCs w:val="24"/>
              </w:rPr>
            </w:pPr>
            <w:r w:rsidRPr="00DE329A">
              <w:rPr>
                <w:rFonts w:ascii="Arial Narrow" w:hAnsi="Arial Narrow"/>
                <w:b w:val="0"/>
                <w:szCs w:val="24"/>
              </w:rPr>
              <w:t>Subsecretar</w:t>
            </w:r>
            <w:r>
              <w:rPr>
                <w:rFonts w:ascii="Arial Narrow" w:hAnsi="Arial Narrow"/>
                <w:b w:val="0"/>
                <w:szCs w:val="24"/>
              </w:rPr>
              <w:t>ía</w:t>
            </w:r>
            <w:r w:rsidRPr="00DE329A">
              <w:rPr>
                <w:rFonts w:ascii="Arial Narrow" w:hAnsi="Arial Narrow"/>
                <w:b w:val="0"/>
                <w:szCs w:val="24"/>
              </w:rPr>
              <w:t xml:space="preserve"> de Planeación y Presupuesto del Estado</w:t>
            </w:r>
            <w:r w:rsidR="008C1574">
              <w:rPr>
                <w:rFonts w:ascii="Arial Narrow" w:hAnsi="Arial Narrow"/>
                <w:b w:val="0"/>
                <w:szCs w:val="24"/>
              </w:rPr>
              <w:t>.</w:t>
            </w:r>
          </w:p>
          <w:p w:rsidR="00445CB0" w:rsidRPr="00DE329A" w:rsidRDefault="00445CB0" w:rsidP="00DE329A">
            <w:pPr>
              <w:autoSpaceDE w:val="0"/>
              <w:autoSpaceDN w:val="0"/>
              <w:adjustRightInd w:val="0"/>
              <w:spacing w:before="120" w:after="120"/>
              <w:contextualSpacing/>
              <w:jc w:val="both"/>
              <w:rPr>
                <w:rFonts w:ascii="Arial Narrow" w:hAnsi="Arial Narrow"/>
                <w:szCs w:val="24"/>
              </w:rPr>
            </w:pP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Nombre del (los) titular (es) de la (s) unidad (es) administrativa (s) a cargo del (los) programa (s), (Nombre completo, correo electrónico y teléfono con clave lada):</w:t>
            </w:r>
          </w:p>
          <w:p w:rsidR="00445CB0" w:rsidRDefault="00445CB0" w:rsidP="00557BDB">
            <w:pPr>
              <w:pStyle w:val="ListParagraph"/>
              <w:autoSpaceDE w:val="0"/>
              <w:autoSpaceDN w:val="0"/>
              <w:adjustRightInd w:val="0"/>
              <w:spacing w:before="120" w:after="120"/>
              <w:ind w:left="426"/>
              <w:contextualSpacing/>
              <w:jc w:val="both"/>
              <w:rPr>
                <w:rFonts w:ascii="Arial Narrow" w:hAnsi="Arial Narrow"/>
                <w:b w:val="0"/>
                <w:szCs w:val="24"/>
              </w:rPr>
            </w:pPr>
          </w:p>
          <w:p w:rsidR="00DE329A" w:rsidRPr="00DE329A" w:rsidRDefault="00DE329A" w:rsidP="00DE329A">
            <w:pPr>
              <w:pStyle w:val="ListParagraph"/>
              <w:autoSpaceDE w:val="0"/>
              <w:autoSpaceDN w:val="0"/>
              <w:adjustRightInd w:val="0"/>
              <w:spacing w:before="120" w:after="120"/>
              <w:ind w:left="426"/>
              <w:contextualSpacing/>
              <w:jc w:val="both"/>
              <w:rPr>
                <w:rFonts w:ascii="Arial Narrow" w:hAnsi="Arial Narrow"/>
                <w:b w:val="0"/>
                <w:szCs w:val="24"/>
              </w:rPr>
            </w:pPr>
            <w:r w:rsidRPr="00DE329A">
              <w:rPr>
                <w:rFonts w:ascii="Arial Narrow" w:hAnsi="Arial Narrow"/>
                <w:b w:val="0"/>
                <w:szCs w:val="24"/>
              </w:rPr>
              <w:t>Miguel Ángel Rodríguez Castro</w:t>
            </w:r>
            <w:r w:rsidR="008C1574">
              <w:rPr>
                <w:rFonts w:ascii="Arial Narrow" w:hAnsi="Arial Narrow"/>
                <w:b w:val="0"/>
                <w:szCs w:val="24"/>
              </w:rPr>
              <w:t>.</w:t>
            </w:r>
          </w:p>
          <w:p w:rsidR="00DE329A" w:rsidRDefault="00445CB0" w:rsidP="00DE329A">
            <w:pPr>
              <w:pStyle w:val="ListParagraph"/>
              <w:autoSpaceDE w:val="0"/>
              <w:autoSpaceDN w:val="0"/>
              <w:adjustRightInd w:val="0"/>
              <w:spacing w:before="120" w:after="120"/>
              <w:ind w:left="426"/>
              <w:contextualSpacing/>
              <w:jc w:val="both"/>
              <w:rPr>
                <w:rFonts w:ascii="Arial Narrow" w:hAnsi="Arial Narrow"/>
                <w:b w:val="0"/>
                <w:szCs w:val="24"/>
              </w:rPr>
            </w:pPr>
            <w:r w:rsidRPr="00291A60">
              <w:rPr>
                <w:rFonts w:ascii="Arial Narrow" w:hAnsi="Arial Narrow"/>
                <w:b w:val="0"/>
                <w:szCs w:val="24"/>
              </w:rPr>
              <w:t>E-Mail</w:t>
            </w:r>
            <w:r>
              <w:rPr>
                <w:rFonts w:ascii="Arial Narrow" w:hAnsi="Arial Narrow"/>
                <w:b w:val="0"/>
                <w:szCs w:val="24"/>
              </w:rPr>
              <w:t xml:space="preserve">: </w:t>
            </w:r>
            <w:r w:rsidR="00DE329A" w:rsidRPr="00DE329A">
              <w:rPr>
                <w:rFonts w:ascii="Arial Narrow" w:hAnsi="Arial Narrow"/>
                <w:b w:val="0"/>
                <w:szCs w:val="24"/>
              </w:rPr>
              <w:t>marodriguez@baja.gob.mx</w:t>
            </w:r>
            <w:r w:rsidR="008C1574">
              <w:rPr>
                <w:rFonts w:ascii="Arial Narrow" w:hAnsi="Arial Narrow"/>
                <w:b w:val="0"/>
                <w:szCs w:val="24"/>
              </w:rPr>
              <w:t>.</w:t>
            </w:r>
          </w:p>
          <w:p w:rsidR="00445CB0" w:rsidRPr="000131A6" w:rsidRDefault="00445CB0" w:rsidP="00557BDB">
            <w:pPr>
              <w:pStyle w:val="ListParagraph"/>
              <w:autoSpaceDE w:val="0"/>
              <w:autoSpaceDN w:val="0"/>
              <w:adjustRightInd w:val="0"/>
              <w:spacing w:before="120" w:after="120"/>
              <w:ind w:left="426"/>
              <w:contextualSpacing/>
              <w:jc w:val="both"/>
              <w:rPr>
                <w:rFonts w:ascii="Arial Narrow" w:hAnsi="Arial Narrow"/>
                <w:szCs w:val="24"/>
              </w:rPr>
            </w:pPr>
            <w:r w:rsidRPr="00291A60">
              <w:rPr>
                <w:rFonts w:ascii="Arial Narrow" w:hAnsi="Arial Narrow"/>
                <w:b w:val="0"/>
                <w:szCs w:val="24"/>
              </w:rPr>
              <w:t>Teléfonos</w:t>
            </w:r>
            <w:r>
              <w:rPr>
                <w:rFonts w:ascii="Arial Narrow" w:hAnsi="Arial Narrow"/>
                <w:b w:val="0"/>
                <w:szCs w:val="24"/>
              </w:rPr>
              <w:t xml:space="preserve">: </w:t>
            </w:r>
            <w:r w:rsidRPr="00291A60">
              <w:rPr>
                <w:rFonts w:ascii="Arial Narrow" w:hAnsi="Arial Narrow"/>
                <w:b w:val="0"/>
                <w:szCs w:val="24"/>
              </w:rPr>
              <w:t xml:space="preserve">(686) </w:t>
            </w:r>
            <w:r w:rsidR="00DE329A" w:rsidRPr="00DE329A">
              <w:rPr>
                <w:rFonts w:ascii="Arial Narrow" w:hAnsi="Arial Narrow"/>
                <w:b w:val="0"/>
                <w:szCs w:val="24"/>
              </w:rPr>
              <w:t>558-1000 ext. 1319</w:t>
            </w:r>
            <w:r w:rsidR="008C1574">
              <w:rPr>
                <w:rFonts w:ascii="Arial Narrow" w:hAnsi="Arial Narrow"/>
                <w:b w:val="0"/>
                <w:szCs w:val="24"/>
              </w:rPr>
              <w:t>.</w:t>
            </w:r>
          </w:p>
        </w:tc>
      </w:tr>
    </w:tbl>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tbl>
      <w:tblPr>
        <w:tblStyle w:val="MediumShading1-Accent6"/>
        <w:tblW w:w="0" w:type="auto"/>
        <w:tblLook w:val="04A0" w:firstRow="1" w:lastRow="0" w:firstColumn="1" w:lastColumn="0" w:noHBand="0" w:noVBand="1"/>
      </w:tblPr>
      <w:tblGrid>
        <w:gridCol w:w="8818"/>
      </w:tblGrid>
      <w:tr w:rsidR="00445CB0" w:rsidRPr="000131A6" w:rsidTr="009A3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291A60" w:rsidRDefault="00445CB0" w:rsidP="00BC34A6">
            <w:pPr>
              <w:pStyle w:val="ListParagraph"/>
              <w:numPr>
                <w:ilvl w:val="0"/>
                <w:numId w:val="4"/>
              </w:numPr>
              <w:autoSpaceDE w:val="0"/>
              <w:autoSpaceDN w:val="0"/>
              <w:adjustRightInd w:val="0"/>
              <w:spacing w:before="120" w:after="120"/>
              <w:ind w:left="425"/>
              <w:contextualSpacing/>
              <w:jc w:val="both"/>
              <w:rPr>
                <w:rFonts w:ascii="Arial Narrow" w:hAnsi="Arial Narrow"/>
                <w:sz w:val="32"/>
                <w:szCs w:val="24"/>
              </w:rPr>
            </w:pPr>
            <w:r w:rsidRPr="00291A60">
              <w:rPr>
                <w:rFonts w:ascii="Arial Narrow" w:hAnsi="Arial Narrow"/>
                <w:sz w:val="32"/>
                <w:szCs w:val="24"/>
              </w:rPr>
              <w:t>DATOS DE CONTRATACIÓN DE LA EVALUACIÓN</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BC34A6">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Tipo de contratación:</w:t>
            </w:r>
          </w:p>
          <w:p w:rsidR="00445CB0" w:rsidRDefault="00445CB0" w:rsidP="00BC34A6">
            <w:pPr>
              <w:autoSpaceDE w:val="0"/>
              <w:autoSpaceDN w:val="0"/>
              <w:adjustRightInd w:val="0"/>
              <w:spacing w:before="120" w:after="120"/>
              <w:jc w:val="both"/>
              <w:rPr>
                <w:rFonts w:ascii="Arial Narrow" w:hAnsi="Arial Narrow" w:cs="Times New Roman"/>
                <w:sz w:val="24"/>
                <w:szCs w:val="24"/>
              </w:rPr>
            </w:pPr>
            <w:r w:rsidRPr="000131A6">
              <w:rPr>
                <w:rFonts w:ascii="Arial Narrow" w:hAnsi="Arial Narrow" w:cs="Times New Roman"/>
                <w:sz w:val="24"/>
                <w:szCs w:val="24"/>
              </w:rPr>
              <w:t xml:space="preserve">Adjudicación directa___ Invitación a tres____ Licitación pública____ Licitación pública nacional____  Licitación pública </w:t>
            </w:r>
            <w:r>
              <w:rPr>
                <w:rFonts w:ascii="Arial Narrow" w:hAnsi="Arial Narrow" w:cs="Times New Roman"/>
                <w:sz w:val="24"/>
                <w:szCs w:val="24"/>
              </w:rPr>
              <w:t>inter</w:t>
            </w:r>
            <w:r w:rsidRPr="000131A6">
              <w:rPr>
                <w:rFonts w:ascii="Arial Narrow" w:hAnsi="Arial Narrow" w:cs="Times New Roman"/>
                <w:sz w:val="24"/>
                <w:szCs w:val="24"/>
              </w:rPr>
              <w:t>nacional____</w:t>
            </w:r>
            <w:r>
              <w:rPr>
                <w:rFonts w:ascii="Arial Narrow" w:hAnsi="Arial Narrow" w:cs="Times New Roman"/>
                <w:sz w:val="24"/>
                <w:szCs w:val="24"/>
              </w:rPr>
              <w:t xml:space="preserve"> </w:t>
            </w:r>
          </w:p>
          <w:p w:rsidR="00445CB0" w:rsidRPr="000131A6" w:rsidRDefault="00445CB0" w:rsidP="00BC34A6">
            <w:pPr>
              <w:autoSpaceDE w:val="0"/>
              <w:autoSpaceDN w:val="0"/>
              <w:adjustRightInd w:val="0"/>
              <w:spacing w:before="120" w:after="120"/>
              <w:jc w:val="both"/>
              <w:rPr>
                <w:rFonts w:ascii="Arial Narrow" w:hAnsi="Arial Narrow" w:cs="Times New Roman"/>
                <w:sz w:val="24"/>
                <w:szCs w:val="24"/>
              </w:rPr>
            </w:pPr>
            <w:r w:rsidRPr="000131A6">
              <w:rPr>
                <w:rFonts w:ascii="Arial Narrow" w:hAnsi="Arial Narrow" w:cs="Times New Roman"/>
                <w:sz w:val="24"/>
                <w:szCs w:val="24"/>
              </w:rPr>
              <w:t>Otra (señalar)__</w:t>
            </w:r>
            <w:r>
              <w:t xml:space="preserve"> </w:t>
            </w:r>
            <w:r w:rsidRPr="00D70466">
              <w:rPr>
                <w:rFonts w:ascii="Arial Narrow" w:hAnsi="Arial Narrow" w:cs="Times New Roman"/>
                <w:b w:val="0"/>
                <w:sz w:val="24"/>
                <w:szCs w:val="24"/>
              </w:rPr>
              <w:t>Adjudicación directa con tres cotizaciones</w:t>
            </w:r>
            <w:r w:rsidRPr="000131A6">
              <w:rPr>
                <w:rFonts w:ascii="Arial Narrow" w:hAnsi="Arial Narrow" w:cs="Times New Roman"/>
                <w:sz w:val="24"/>
                <w:szCs w:val="24"/>
              </w:rPr>
              <w:t>__</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BC34A6">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Unidad administrativa responsable de contratar la evaluación:</w:t>
            </w:r>
          </w:p>
          <w:p w:rsidR="00445CB0" w:rsidRPr="00D70466" w:rsidRDefault="00445CB0" w:rsidP="00BC34A6">
            <w:pPr>
              <w:pStyle w:val="ListParagraph"/>
              <w:autoSpaceDE w:val="0"/>
              <w:autoSpaceDN w:val="0"/>
              <w:adjustRightInd w:val="0"/>
              <w:spacing w:before="120" w:after="120"/>
              <w:ind w:left="426"/>
              <w:contextualSpacing/>
              <w:jc w:val="both"/>
              <w:rPr>
                <w:rFonts w:ascii="Arial Narrow" w:hAnsi="Arial Narrow"/>
                <w:b w:val="0"/>
                <w:szCs w:val="24"/>
              </w:rPr>
            </w:pPr>
            <w:r w:rsidRPr="00D70466">
              <w:rPr>
                <w:rFonts w:ascii="Arial Narrow" w:hAnsi="Arial Narrow"/>
                <w:b w:val="0"/>
                <w:szCs w:val="24"/>
              </w:rPr>
              <w:t>Comité de Planeación para el Desarrollo del Estado</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BC34A6">
            <w:pPr>
              <w:pStyle w:val="ListParagraph"/>
              <w:numPr>
                <w:ilvl w:val="1"/>
                <w:numId w:val="4"/>
              </w:numPr>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 xml:space="preserve">Costo total de la evaluación: </w:t>
            </w:r>
          </w:p>
          <w:p w:rsidR="00445CB0" w:rsidRPr="000131A6" w:rsidRDefault="00445CB0" w:rsidP="00133282">
            <w:pPr>
              <w:pStyle w:val="ListParagraph"/>
              <w:autoSpaceDE w:val="0"/>
              <w:autoSpaceDN w:val="0"/>
              <w:adjustRightInd w:val="0"/>
              <w:spacing w:before="120" w:after="120"/>
              <w:ind w:left="426"/>
              <w:contextualSpacing/>
              <w:jc w:val="both"/>
              <w:rPr>
                <w:rFonts w:ascii="Arial Narrow" w:hAnsi="Arial Narrow"/>
                <w:szCs w:val="24"/>
              </w:rPr>
            </w:pPr>
            <w:r w:rsidRPr="000131A6">
              <w:rPr>
                <w:rFonts w:ascii="Arial Narrow" w:hAnsi="Arial Narrow"/>
                <w:szCs w:val="24"/>
              </w:rPr>
              <w:t>$</w:t>
            </w:r>
            <w:r>
              <w:t xml:space="preserve"> </w:t>
            </w:r>
            <w:r w:rsidR="00BC34A6">
              <w:rPr>
                <w:rFonts w:ascii="Arial Narrow" w:hAnsi="Arial Narrow"/>
                <w:szCs w:val="24"/>
              </w:rPr>
              <w:t>249,400</w:t>
            </w:r>
            <w:r w:rsidR="00A86702">
              <w:rPr>
                <w:rFonts w:ascii="Arial Narrow" w:hAnsi="Arial Narrow"/>
                <w:szCs w:val="24"/>
              </w:rPr>
              <w:t xml:space="preserve">.00 </w:t>
            </w:r>
            <w:r>
              <w:rPr>
                <w:rFonts w:ascii="Arial Narrow" w:hAnsi="Arial Narrow"/>
                <w:szCs w:val="24"/>
              </w:rPr>
              <w:t>(</w:t>
            </w:r>
            <w:r w:rsidR="00BC34A6">
              <w:rPr>
                <w:rFonts w:ascii="Arial Narrow" w:hAnsi="Arial Narrow"/>
                <w:szCs w:val="24"/>
              </w:rPr>
              <w:t>Doscientos cuarenta</w:t>
            </w:r>
            <w:r>
              <w:rPr>
                <w:rFonts w:ascii="Arial Narrow" w:hAnsi="Arial Narrow"/>
                <w:szCs w:val="24"/>
              </w:rPr>
              <w:t xml:space="preserve"> mil</w:t>
            </w:r>
            <w:r w:rsidR="00BC34A6">
              <w:rPr>
                <w:rFonts w:ascii="Arial Narrow" w:hAnsi="Arial Narrow"/>
                <w:szCs w:val="24"/>
              </w:rPr>
              <w:t xml:space="preserve"> cuatrocientos</w:t>
            </w:r>
            <w:r>
              <w:rPr>
                <w:rFonts w:ascii="Arial Narrow" w:hAnsi="Arial Narrow"/>
                <w:szCs w:val="24"/>
              </w:rPr>
              <w:t xml:space="preserve"> pesos 00/100 M.N.)</w:t>
            </w:r>
            <w:r w:rsidR="00A86702">
              <w:rPr>
                <w:rFonts w:ascii="Arial Narrow" w:hAnsi="Arial Narrow"/>
                <w:szCs w:val="24"/>
              </w:rPr>
              <w:t xml:space="preserve"> </w:t>
            </w:r>
            <w:r w:rsidR="00133282">
              <w:rPr>
                <w:rFonts w:ascii="Arial Narrow" w:hAnsi="Arial Narrow"/>
                <w:szCs w:val="24"/>
              </w:rPr>
              <w:t>incluye</w:t>
            </w:r>
            <w:r w:rsidR="00A86702">
              <w:rPr>
                <w:rFonts w:ascii="Arial Narrow" w:hAnsi="Arial Narrow"/>
                <w:szCs w:val="24"/>
              </w:rPr>
              <w:t xml:space="preserve"> IVA</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0131A6" w:rsidRDefault="00445CB0" w:rsidP="00BC34A6">
            <w:pPr>
              <w:pStyle w:val="ListParagraph"/>
              <w:numPr>
                <w:ilvl w:val="1"/>
                <w:numId w:val="4"/>
              </w:numPr>
              <w:autoSpaceDE w:val="0"/>
              <w:autoSpaceDN w:val="0"/>
              <w:adjustRightInd w:val="0"/>
              <w:spacing w:before="120" w:after="120"/>
              <w:contextualSpacing/>
              <w:jc w:val="both"/>
              <w:rPr>
                <w:rFonts w:ascii="Arial Narrow" w:hAnsi="Arial Narrow"/>
                <w:b w:val="0"/>
              </w:rPr>
            </w:pPr>
            <w:r w:rsidRPr="000131A6">
              <w:rPr>
                <w:rFonts w:ascii="Arial Narrow" w:hAnsi="Arial Narrow"/>
                <w:szCs w:val="24"/>
              </w:rPr>
              <w:t xml:space="preserve">Fuente de financiamiento:  </w:t>
            </w:r>
            <w:r w:rsidRPr="000131A6">
              <w:rPr>
                <w:rFonts w:ascii="Arial Narrow" w:hAnsi="Arial Narrow"/>
              </w:rPr>
              <w:t>Recurso fiscal___ Recurso propio___ Créditos___ Especificar_</w:t>
            </w:r>
            <w:r>
              <w:t xml:space="preserve"> </w:t>
            </w:r>
            <w:r w:rsidRPr="00D70466">
              <w:rPr>
                <w:rFonts w:ascii="Arial Narrow" w:hAnsi="Arial Narrow"/>
                <w:b w:val="0"/>
              </w:rPr>
              <w:t>Recurso fiscal estatal, Comité de Planeación para el Desarrollo del Estado</w:t>
            </w:r>
          </w:p>
        </w:tc>
      </w:tr>
    </w:tbl>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tbl>
      <w:tblPr>
        <w:tblStyle w:val="MediumShading1-Accent6"/>
        <w:tblW w:w="0" w:type="auto"/>
        <w:tblLook w:val="04A0" w:firstRow="1" w:lastRow="0" w:firstColumn="1" w:lastColumn="0" w:noHBand="0" w:noVBand="1"/>
      </w:tblPr>
      <w:tblGrid>
        <w:gridCol w:w="8818"/>
      </w:tblGrid>
      <w:tr w:rsidR="00445CB0" w:rsidRPr="000131A6" w:rsidTr="009A3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Pr="00D70466" w:rsidRDefault="00445CB0" w:rsidP="00445CB0">
            <w:pPr>
              <w:pStyle w:val="ListParagraph"/>
              <w:numPr>
                <w:ilvl w:val="0"/>
                <w:numId w:val="4"/>
              </w:numPr>
              <w:autoSpaceDE w:val="0"/>
              <w:autoSpaceDN w:val="0"/>
              <w:adjustRightInd w:val="0"/>
              <w:spacing w:before="120" w:after="120"/>
              <w:ind w:left="425"/>
              <w:contextualSpacing/>
              <w:jc w:val="both"/>
              <w:rPr>
                <w:rFonts w:ascii="Arial Narrow" w:hAnsi="Arial Narrow"/>
                <w:sz w:val="32"/>
                <w:szCs w:val="24"/>
              </w:rPr>
            </w:pPr>
            <w:r w:rsidRPr="00D70466">
              <w:rPr>
                <w:rFonts w:ascii="Arial Narrow" w:hAnsi="Arial Narrow"/>
                <w:sz w:val="32"/>
                <w:szCs w:val="24"/>
              </w:rPr>
              <w:t>DIFUSIÓN DE LA EVALUACIÓN</w:t>
            </w:r>
          </w:p>
        </w:tc>
      </w:tr>
      <w:tr w:rsidR="00445CB0" w:rsidRPr="000131A6" w:rsidTr="009A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ind w:left="426"/>
              <w:contextualSpacing/>
              <w:jc w:val="both"/>
              <w:rPr>
                <w:rFonts w:ascii="Arial Narrow" w:hAnsi="Arial Narrow"/>
                <w:szCs w:val="24"/>
              </w:rPr>
            </w:pPr>
            <w:r w:rsidRPr="000131A6">
              <w:rPr>
                <w:rFonts w:ascii="Arial Narrow" w:hAnsi="Arial Narrow"/>
                <w:szCs w:val="24"/>
              </w:rPr>
              <w:t>Difusión en internet de la evaluación:</w:t>
            </w:r>
          </w:p>
          <w:p w:rsidR="00445CB0" w:rsidRPr="00D70466" w:rsidRDefault="00445CB0" w:rsidP="00557BDB">
            <w:pPr>
              <w:pStyle w:val="ListParagraph"/>
              <w:autoSpaceDE w:val="0"/>
              <w:autoSpaceDN w:val="0"/>
              <w:adjustRightInd w:val="0"/>
              <w:ind w:left="426"/>
              <w:contextualSpacing/>
              <w:jc w:val="both"/>
              <w:rPr>
                <w:rFonts w:ascii="Arial Narrow" w:hAnsi="Arial Narrow"/>
                <w:b w:val="0"/>
                <w:szCs w:val="24"/>
              </w:rPr>
            </w:pPr>
            <w:r w:rsidRPr="00D70466">
              <w:rPr>
                <w:rFonts w:ascii="Arial Narrow" w:hAnsi="Arial Narrow"/>
                <w:b w:val="0"/>
                <w:szCs w:val="24"/>
              </w:rPr>
              <w:t xml:space="preserve">Página web de COPLADE: http://www.copladebc.gob.mx/ </w:t>
            </w:r>
          </w:p>
          <w:p w:rsidR="00445CB0" w:rsidRDefault="00445CB0" w:rsidP="00557BDB">
            <w:pPr>
              <w:pStyle w:val="ListParagraph"/>
              <w:autoSpaceDE w:val="0"/>
              <w:autoSpaceDN w:val="0"/>
              <w:adjustRightInd w:val="0"/>
              <w:ind w:left="426"/>
              <w:contextualSpacing/>
              <w:jc w:val="both"/>
              <w:rPr>
                <w:rFonts w:ascii="Arial Narrow" w:hAnsi="Arial Narrow"/>
                <w:b w:val="0"/>
                <w:szCs w:val="24"/>
              </w:rPr>
            </w:pPr>
            <w:r w:rsidRPr="00D70466">
              <w:rPr>
                <w:rFonts w:ascii="Arial Narrow" w:hAnsi="Arial Narrow"/>
                <w:b w:val="0"/>
                <w:szCs w:val="24"/>
              </w:rPr>
              <w:t>Página web Monitor de Seguimiento Ciudadano</w:t>
            </w:r>
            <w:r>
              <w:rPr>
                <w:rFonts w:ascii="Arial Narrow" w:hAnsi="Arial Narrow"/>
                <w:b w:val="0"/>
                <w:szCs w:val="24"/>
              </w:rPr>
              <w:t xml:space="preserve"> </w:t>
            </w:r>
          </w:p>
          <w:p w:rsidR="00445CB0" w:rsidRPr="000131A6" w:rsidRDefault="00445CB0" w:rsidP="00557BDB">
            <w:pPr>
              <w:pStyle w:val="ListParagraph"/>
              <w:autoSpaceDE w:val="0"/>
              <w:autoSpaceDN w:val="0"/>
              <w:adjustRightInd w:val="0"/>
              <w:ind w:left="426"/>
              <w:contextualSpacing/>
              <w:jc w:val="both"/>
              <w:rPr>
                <w:rFonts w:ascii="Arial Narrow" w:hAnsi="Arial Narrow"/>
                <w:szCs w:val="24"/>
              </w:rPr>
            </w:pPr>
            <w:r w:rsidRPr="00D70466">
              <w:rPr>
                <w:rFonts w:ascii="Arial Narrow" w:hAnsi="Arial Narrow"/>
                <w:b w:val="0"/>
                <w:szCs w:val="24"/>
              </w:rPr>
              <w:t>http://indicadores.bajacalifornia.gob.mx/monitorbc/index.html</w:t>
            </w:r>
          </w:p>
        </w:tc>
      </w:tr>
      <w:tr w:rsidR="00445CB0" w:rsidRPr="000131A6" w:rsidTr="009A3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445CB0" w:rsidRDefault="00445CB0" w:rsidP="00445CB0">
            <w:pPr>
              <w:pStyle w:val="ListParagraph"/>
              <w:numPr>
                <w:ilvl w:val="1"/>
                <w:numId w:val="4"/>
              </w:numPr>
              <w:autoSpaceDE w:val="0"/>
              <w:autoSpaceDN w:val="0"/>
              <w:adjustRightInd w:val="0"/>
              <w:ind w:left="426"/>
              <w:contextualSpacing/>
              <w:jc w:val="both"/>
              <w:rPr>
                <w:rFonts w:ascii="Arial Narrow" w:hAnsi="Arial Narrow"/>
                <w:szCs w:val="24"/>
              </w:rPr>
            </w:pPr>
            <w:r w:rsidRPr="000131A6">
              <w:rPr>
                <w:rFonts w:ascii="Arial Narrow" w:hAnsi="Arial Narrow"/>
                <w:szCs w:val="24"/>
              </w:rPr>
              <w:t>Difusión en internet del formato:</w:t>
            </w:r>
          </w:p>
          <w:p w:rsidR="00445CB0" w:rsidRPr="00D70466" w:rsidRDefault="00445CB0" w:rsidP="00557BDB">
            <w:pPr>
              <w:pStyle w:val="ListParagraph"/>
              <w:autoSpaceDE w:val="0"/>
              <w:autoSpaceDN w:val="0"/>
              <w:adjustRightInd w:val="0"/>
              <w:ind w:left="426"/>
              <w:contextualSpacing/>
              <w:jc w:val="both"/>
              <w:rPr>
                <w:rFonts w:ascii="Arial Narrow" w:hAnsi="Arial Narrow"/>
                <w:b w:val="0"/>
                <w:szCs w:val="24"/>
              </w:rPr>
            </w:pPr>
            <w:r w:rsidRPr="00D70466">
              <w:rPr>
                <w:rFonts w:ascii="Arial Narrow" w:hAnsi="Arial Narrow"/>
                <w:b w:val="0"/>
                <w:szCs w:val="24"/>
              </w:rPr>
              <w:t xml:space="preserve">Página web de COPLADE: http://www.copladebc.gob.mx/ </w:t>
            </w:r>
          </w:p>
          <w:p w:rsidR="00445CB0" w:rsidRDefault="00445CB0" w:rsidP="00557BDB">
            <w:pPr>
              <w:pStyle w:val="ListParagraph"/>
              <w:autoSpaceDE w:val="0"/>
              <w:autoSpaceDN w:val="0"/>
              <w:adjustRightInd w:val="0"/>
              <w:ind w:left="426"/>
              <w:contextualSpacing/>
              <w:jc w:val="both"/>
              <w:rPr>
                <w:rFonts w:ascii="Arial Narrow" w:hAnsi="Arial Narrow"/>
                <w:b w:val="0"/>
                <w:szCs w:val="24"/>
              </w:rPr>
            </w:pPr>
            <w:r w:rsidRPr="00D70466">
              <w:rPr>
                <w:rFonts w:ascii="Arial Narrow" w:hAnsi="Arial Narrow"/>
                <w:b w:val="0"/>
                <w:szCs w:val="24"/>
              </w:rPr>
              <w:t>Página web Monitor de Seguimiento Ciudadano</w:t>
            </w:r>
          </w:p>
          <w:p w:rsidR="00445CB0" w:rsidRPr="000131A6" w:rsidRDefault="00445CB0" w:rsidP="00557BDB">
            <w:pPr>
              <w:pStyle w:val="ListParagraph"/>
              <w:autoSpaceDE w:val="0"/>
              <w:autoSpaceDN w:val="0"/>
              <w:adjustRightInd w:val="0"/>
              <w:ind w:left="426"/>
              <w:contextualSpacing/>
              <w:jc w:val="both"/>
              <w:rPr>
                <w:rFonts w:ascii="Arial Narrow" w:hAnsi="Arial Narrow"/>
                <w:szCs w:val="24"/>
              </w:rPr>
            </w:pPr>
            <w:r w:rsidRPr="00D70466">
              <w:rPr>
                <w:rFonts w:ascii="Arial Narrow" w:hAnsi="Arial Narrow"/>
                <w:b w:val="0"/>
                <w:szCs w:val="24"/>
              </w:rPr>
              <w:t>http://indicadores.bajacalifornia.gob.mx/monitorbc/index.html</w:t>
            </w:r>
          </w:p>
        </w:tc>
      </w:tr>
    </w:tbl>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p w:rsidR="00445CB0" w:rsidRPr="000131A6" w:rsidRDefault="00445CB0" w:rsidP="00445CB0">
      <w:pPr>
        <w:autoSpaceDE w:val="0"/>
        <w:autoSpaceDN w:val="0"/>
        <w:adjustRightInd w:val="0"/>
        <w:spacing w:after="0" w:line="240" w:lineRule="auto"/>
        <w:jc w:val="both"/>
        <w:rPr>
          <w:rFonts w:ascii="Arial Narrow" w:hAnsi="Arial Narrow" w:cs="Times New Roman"/>
          <w:sz w:val="24"/>
          <w:szCs w:val="24"/>
        </w:rPr>
      </w:pPr>
    </w:p>
    <w:p w:rsidR="00573B70" w:rsidRDefault="00573B70" w:rsidP="00573B70"/>
    <w:p w:rsidR="00573B70" w:rsidRPr="001E0D91" w:rsidRDefault="00573B70" w:rsidP="00573B70"/>
    <w:p w:rsidR="00710C0C" w:rsidRDefault="00710C0C"/>
    <w:sectPr w:rsidR="00710C0C" w:rsidSect="003854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B02" w:rsidRDefault="001F3B02" w:rsidP="00445CB0">
      <w:pPr>
        <w:spacing w:after="0" w:line="240" w:lineRule="auto"/>
      </w:pPr>
      <w:r>
        <w:separator/>
      </w:r>
    </w:p>
  </w:endnote>
  <w:endnote w:type="continuationSeparator" w:id="0">
    <w:p w:rsidR="001F3B02" w:rsidRDefault="001F3B02" w:rsidP="00445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SansMT-Bold">
    <w:altName w:val="Calibri"/>
    <w:panose1 w:val="00000000000000000000"/>
    <w:charset w:val="00"/>
    <w:family w:val="swiss"/>
    <w:notTrueType/>
    <w:pitch w:val="default"/>
    <w:sig w:usb0="00000003" w:usb1="00000000" w:usb2="00000000" w:usb3="00000000" w:csb0="00000001" w:csb1="00000000"/>
  </w:font>
  <w:font w:name="Arial Narrow">
    <w:altName w:val="Franklin Gothic Medium Cond"/>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772503"/>
      <w:docPartObj>
        <w:docPartGallery w:val="Page Numbers (Bottom of Page)"/>
        <w:docPartUnique/>
      </w:docPartObj>
    </w:sdtPr>
    <w:sdtEndPr/>
    <w:sdtContent>
      <w:p w:rsidR="00E0113E" w:rsidRDefault="00E0113E">
        <w:pPr>
          <w:pStyle w:val="Footer"/>
          <w:jc w:val="right"/>
        </w:pPr>
        <w:r>
          <w:fldChar w:fldCharType="begin"/>
        </w:r>
        <w:r>
          <w:instrText>PAGE   \* MERGEFORMAT</w:instrText>
        </w:r>
        <w:r>
          <w:fldChar w:fldCharType="separate"/>
        </w:r>
        <w:r w:rsidR="00037426" w:rsidRPr="00037426">
          <w:rPr>
            <w:noProof/>
            <w:lang w:val="es-ES"/>
          </w:rPr>
          <w:t>2</w:t>
        </w:r>
        <w:r>
          <w:fldChar w:fldCharType="end"/>
        </w:r>
      </w:p>
    </w:sdtContent>
  </w:sdt>
  <w:p w:rsidR="00E0113E" w:rsidRPr="00512EF2" w:rsidRDefault="00E0113E" w:rsidP="00445CB0">
    <w:pPr>
      <w:pStyle w:val="Footer"/>
      <w:jc w:val="center"/>
      <w:rPr>
        <w:rFonts w:ascii="Maiandra GD" w:hAnsi="Maiandra GD"/>
        <w:b/>
        <w:i/>
        <w:color w:val="632423" w:themeColor="accent2" w:themeShade="80"/>
        <w:sz w:val="16"/>
      </w:rPr>
    </w:pPr>
    <w:r w:rsidRPr="00512EF2">
      <w:rPr>
        <w:rFonts w:ascii="Maiandra GD" w:hAnsi="Maiandra GD"/>
        <w:b/>
        <w:i/>
        <w:color w:val="632423" w:themeColor="accent2" w:themeShade="80"/>
        <w:sz w:val="16"/>
      </w:rPr>
      <w:t>Evaluación Específica de Desempeño de Participaciones Federales a Entidades Federativas, Ejercicio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13E" w:rsidRDefault="00E0113E" w:rsidP="00E0113E">
    <w:pPr>
      <w:pStyle w:val="Footer"/>
      <w:jc w:val="right"/>
      <w:rPr>
        <w:noProof/>
      </w:rPr>
    </w:pPr>
    <w:r>
      <w:rPr>
        <w:noProof/>
      </w:rPr>
      <w:t>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11673"/>
      <w:docPartObj>
        <w:docPartGallery w:val="Page Numbers (Bottom of Page)"/>
        <w:docPartUnique/>
      </w:docPartObj>
    </w:sdtPr>
    <w:sdtEndPr/>
    <w:sdtContent>
      <w:p w:rsidR="00E0113E" w:rsidRDefault="00E0113E">
        <w:pPr>
          <w:pStyle w:val="Footer"/>
          <w:jc w:val="right"/>
        </w:pPr>
        <w:r>
          <w:fldChar w:fldCharType="begin"/>
        </w:r>
        <w:r>
          <w:instrText>PAGE   \* MERGEFORMAT</w:instrText>
        </w:r>
        <w:r>
          <w:fldChar w:fldCharType="separate"/>
        </w:r>
        <w:r w:rsidR="00037426">
          <w:rPr>
            <w:noProof/>
          </w:rPr>
          <w:t>67</w:t>
        </w:r>
        <w:r>
          <w:fldChar w:fldCharType="end"/>
        </w:r>
      </w:p>
    </w:sdtContent>
  </w:sdt>
  <w:p w:rsidR="00E0113E" w:rsidRDefault="00E011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B02" w:rsidRDefault="001F3B02" w:rsidP="00445CB0">
      <w:pPr>
        <w:spacing w:after="0" w:line="240" w:lineRule="auto"/>
      </w:pPr>
      <w:r>
        <w:separator/>
      </w:r>
    </w:p>
  </w:footnote>
  <w:footnote w:type="continuationSeparator" w:id="0">
    <w:p w:rsidR="001F3B02" w:rsidRDefault="001F3B02" w:rsidP="00445CB0">
      <w:pPr>
        <w:spacing w:after="0" w:line="240" w:lineRule="auto"/>
      </w:pPr>
      <w:r>
        <w:continuationSeparator/>
      </w:r>
    </w:p>
  </w:footnote>
  <w:footnote w:id="1">
    <w:p w:rsidR="00E0113E" w:rsidRPr="00F62362" w:rsidRDefault="00E0113E" w:rsidP="00B60713">
      <w:pPr>
        <w:pStyle w:val="FootnoteText"/>
        <w:jc w:val="both"/>
        <w:rPr>
          <w:lang w:val="es-MX"/>
        </w:rPr>
      </w:pPr>
      <w:r w:rsidRPr="00F62362">
        <w:rPr>
          <w:rStyle w:val="FootnoteReference"/>
        </w:rPr>
        <w:footnoteRef/>
      </w:r>
      <w:r w:rsidRPr="00F62362">
        <w:t xml:space="preserve"> Autonomía Financiera: indicador que corresponde a la relación de percepciones de fuentes propias entre los ingresos totales, se obtiene de la división de los ingresos propios sobre los ingresos totales por cien, </w:t>
      </w:r>
      <w:r w:rsidRPr="00F62362">
        <w:rPr>
          <w:color w:val="000000"/>
        </w:rPr>
        <w:t>PIP= (IP/IT)*100, para el año 2018, se espera un 19% de autonomía. Sistema estatal de indicadores. SPF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13E" w:rsidRPr="002546D3" w:rsidRDefault="00E0113E" w:rsidP="008973C0">
    <w:pPr>
      <w:autoSpaceDE w:val="0"/>
      <w:autoSpaceDN w:val="0"/>
      <w:adjustRightInd w:val="0"/>
      <w:spacing w:after="0" w:line="240" w:lineRule="auto"/>
      <w:ind w:left="3969"/>
      <w:rPr>
        <w:rFonts w:ascii="Times New Roman" w:eastAsia="Times New Roman" w:hAnsi="Times New Roman" w:cs="Times New Roman"/>
        <w:color w:val="000000"/>
        <w:sz w:val="14"/>
        <w:szCs w:val="16"/>
      </w:rPr>
    </w:pPr>
    <w:r w:rsidRPr="002E6005">
      <w:rPr>
        <w:noProof/>
        <w:sz w:val="16"/>
        <w:shd w:val="clear" w:color="auto" w:fill="31849B" w:themeFill="accent5" w:themeFillShade="BF"/>
        <w:lang w:val="en-US"/>
      </w:rPr>
      <w:drawing>
        <wp:anchor distT="0" distB="0" distL="114300" distR="114300" simplePos="0" relativeHeight="251662336" behindDoc="0" locked="0" layoutInCell="1" allowOverlap="1" wp14:anchorId="1A668519" wp14:editId="6A0CD0BE">
          <wp:simplePos x="0" y="0"/>
          <wp:positionH relativeFrom="column">
            <wp:posOffset>-492125</wp:posOffset>
          </wp:positionH>
          <wp:positionV relativeFrom="paragraph">
            <wp:posOffset>-22225</wp:posOffset>
          </wp:positionV>
          <wp:extent cx="1258570" cy="429260"/>
          <wp:effectExtent l="0" t="0" r="0" b="8890"/>
          <wp:wrapNone/>
          <wp:docPr id="35" name="Imagen 35"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857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71">
      <w:rPr>
        <w:noProof/>
        <w:lang w:val="en-US"/>
      </w:rPr>
      <w:drawing>
        <wp:anchor distT="0" distB="0" distL="114300" distR="114300" simplePos="0" relativeHeight="251664384" behindDoc="0" locked="0" layoutInCell="1" allowOverlap="1" wp14:anchorId="08B0FFDD" wp14:editId="095477E9">
          <wp:simplePos x="0" y="0"/>
          <wp:positionH relativeFrom="margin">
            <wp:posOffset>996315</wp:posOffset>
          </wp:positionH>
          <wp:positionV relativeFrom="paragraph">
            <wp:posOffset>-20320</wp:posOffset>
          </wp:positionV>
          <wp:extent cx="1304925" cy="427355"/>
          <wp:effectExtent l="0" t="0" r="9525" b="0"/>
          <wp:wrapNone/>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04925" cy="427355"/>
                  </a:xfrm>
                  <a:prstGeom prst="rect">
                    <a:avLst/>
                  </a:prstGeom>
                </pic:spPr>
              </pic:pic>
            </a:graphicData>
          </a:graphic>
          <wp14:sizeRelH relativeFrom="margin">
            <wp14:pctWidth>0</wp14:pctWidth>
          </wp14:sizeRelH>
          <wp14:sizeRelV relativeFrom="margin">
            <wp14:pctHeight>0</wp14:pctHeight>
          </wp14:sizeRelV>
        </wp:anchor>
      </w:drawing>
    </w:r>
    <w:r w:rsidRPr="002E6005">
      <w:rPr>
        <w:noProof/>
        <w:sz w:val="16"/>
        <w:shd w:val="clear" w:color="auto" w:fill="31849B" w:themeFill="accent5" w:themeFillShade="BF"/>
        <w:lang w:val="en-US"/>
      </w:rPr>
      <w:drawing>
        <wp:anchor distT="0" distB="0" distL="114300" distR="114300" simplePos="0" relativeHeight="251660288" behindDoc="0" locked="0" layoutInCell="1" allowOverlap="1" wp14:anchorId="0888E915" wp14:editId="07629064">
          <wp:simplePos x="0" y="0"/>
          <wp:positionH relativeFrom="column">
            <wp:posOffset>4794885</wp:posOffset>
          </wp:positionH>
          <wp:positionV relativeFrom="paragraph">
            <wp:posOffset>-17145</wp:posOffset>
          </wp:positionV>
          <wp:extent cx="1593215" cy="427355"/>
          <wp:effectExtent l="0" t="0" r="6985" b="0"/>
          <wp:wrapNone/>
          <wp:docPr id="95" name="Imagen 95"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9321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005">
      <w:rPr>
        <w:rFonts w:ascii="Times New Roman" w:eastAsia="Times New Roman" w:hAnsi="Times New Roman" w:cs="Times New Roman"/>
        <w:b/>
        <w:bCs/>
        <w:color w:val="FFFFFF" w:themeColor="background1"/>
        <w:sz w:val="44"/>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3A8E">
      <w:rPr>
        <w:rFonts w:ascii="Times New Roman" w:eastAsia="Times New Roman" w:hAnsi="Times New Roman" w:cs="Times New Roman"/>
        <w:color w:val="000000"/>
        <w:sz w:val="14"/>
        <w:szCs w:val="16"/>
      </w:rPr>
      <w:t xml:space="preserve"> </w:t>
    </w:r>
    <w:r w:rsidRPr="002546D3">
      <w:rPr>
        <w:rFonts w:ascii="Times New Roman" w:eastAsia="Times New Roman" w:hAnsi="Times New Roman" w:cs="Times New Roman"/>
        <w:color w:val="000000"/>
        <w:sz w:val="14"/>
        <w:szCs w:val="16"/>
      </w:rPr>
      <w:t>GRUPO DE INVESTIGACIÓN EN</w:t>
    </w:r>
  </w:p>
  <w:p w:rsidR="00E0113E" w:rsidRPr="002546D3" w:rsidRDefault="00E0113E" w:rsidP="008973C0">
    <w:pPr>
      <w:autoSpaceDE w:val="0"/>
      <w:autoSpaceDN w:val="0"/>
      <w:adjustRightInd w:val="0"/>
      <w:spacing w:after="0" w:line="240" w:lineRule="auto"/>
      <w:rPr>
        <w:rFonts w:ascii="Times New Roman" w:eastAsia="Times New Roman" w:hAnsi="Times New Roman" w:cs="Times New Roman"/>
        <w:b/>
        <w:bCs/>
        <w:color w:val="FFFFFF" w:themeColor="background1"/>
        <w:sz w:val="44"/>
        <w:szCs w:val="48"/>
        <w:highlight w:val="darkRed"/>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color w:val="000000"/>
        <w:sz w:val="14"/>
        <w:szCs w:val="16"/>
      </w:rPr>
      <w:t xml:space="preserve">                                                                                                                                                   </w:t>
    </w:r>
    <w:r w:rsidRPr="002546D3">
      <w:rPr>
        <w:rFonts w:ascii="Times New Roman" w:eastAsia="Times New Roman" w:hAnsi="Times New Roman" w:cs="Times New Roman"/>
        <w:color w:val="000000"/>
        <w:sz w:val="14"/>
        <w:szCs w:val="16"/>
      </w:rPr>
      <w:t>CONSULTORÍA ESPECIALIZADA</w:t>
    </w:r>
  </w:p>
  <w:p w:rsidR="00E0113E" w:rsidRDefault="00E0113E">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B4748"/>
    <w:multiLevelType w:val="hybridMultilevel"/>
    <w:tmpl w:val="5A84CF94"/>
    <w:lvl w:ilvl="0" w:tplc="73DC6404">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CEF662F"/>
    <w:multiLevelType w:val="multilevel"/>
    <w:tmpl w:val="A80EA81A"/>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E8411BF"/>
    <w:multiLevelType w:val="hybridMultilevel"/>
    <w:tmpl w:val="1590B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116752"/>
    <w:multiLevelType w:val="hybridMultilevel"/>
    <w:tmpl w:val="05BAF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8544A"/>
    <w:multiLevelType w:val="hybridMultilevel"/>
    <w:tmpl w:val="BDCE1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3D479D"/>
    <w:multiLevelType w:val="hybridMultilevel"/>
    <w:tmpl w:val="541E972E"/>
    <w:lvl w:ilvl="0" w:tplc="3E9AE5EC">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EEB19E3"/>
    <w:multiLevelType w:val="hybridMultilevel"/>
    <w:tmpl w:val="7C4618EE"/>
    <w:lvl w:ilvl="0" w:tplc="6750051C">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32330C2D"/>
    <w:multiLevelType w:val="multilevel"/>
    <w:tmpl w:val="CB341404"/>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ahoma" w:eastAsiaTheme="minorHAnsi" w:hAnsi="Tahoma" w:cs="Tahoma"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5D60D77"/>
    <w:multiLevelType w:val="hybridMultilevel"/>
    <w:tmpl w:val="15DE6E00"/>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310DE7"/>
    <w:multiLevelType w:val="hybridMultilevel"/>
    <w:tmpl w:val="FD8C797A"/>
    <w:lvl w:ilvl="0" w:tplc="D5581EA6">
      <w:start w:val="1"/>
      <w:numFmt w:val="bullet"/>
      <w:lvlText w:val="•"/>
      <w:lvlJc w:val="left"/>
      <w:pPr>
        <w:tabs>
          <w:tab w:val="num" w:pos="720"/>
        </w:tabs>
        <w:ind w:left="720" w:hanging="360"/>
      </w:pPr>
      <w:rPr>
        <w:rFonts w:ascii="Arial" w:hAnsi="Arial" w:cs="Times New Roman" w:hint="default"/>
      </w:rPr>
    </w:lvl>
    <w:lvl w:ilvl="1" w:tplc="10EC934E">
      <w:start w:val="1"/>
      <w:numFmt w:val="decimal"/>
      <w:lvlText w:val="%2."/>
      <w:lvlJc w:val="left"/>
      <w:pPr>
        <w:tabs>
          <w:tab w:val="num" w:pos="1440"/>
        </w:tabs>
        <w:ind w:left="1440" w:hanging="360"/>
      </w:pPr>
    </w:lvl>
    <w:lvl w:ilvl="2" w:tplc="A06263A0">
      <w:start w:val="1"/>
      <w:numFmt w:val="decimal"/>
      <w:lvlText w:val="%3."/>
      <w:lvlJc w:val="left"/>
      <w:pPr>
        <w:tabs>
          <w:tab w:val="num" w:pos="2160"/>
        </w:tabs>
        <w:ind w:left="2160" w:hanging="360"/>
      </w:pPr>
    </w:lvl>
    <w:lvl w:ilvl="3" w:tplc="8F6210A2">
      <w:start w:val="1"/>
      <w:numFmt w:val="decimal"/>
      <w:lvlText w:val="%4."/>
      <w:lvlJc w:val="left"/>
      <w:pPr>
        <w:tabs>
          <w:tab w:val="num" w:pos="2880"/>
        </w:tabs>
        <w:ind w:left="2880" w:hanging="360"/>
      </w:pPr>
    </w:lvl>
    <w:lvl w:ilvl="4" w:tplc="90DA6F6E">
      <w:start w:val="1"/>
      <w:numFmt w:val="decimal"/>
      <w:lvlText w:val="%5."/>
      <w:lvlJc w:val="left"/>
      <w:pPr>
        <w:tabs>
          <w:tab w:val="num" w:pos="3600"/>
        </w:tabs>
        <w:ind w:left="3600" w:hanging="360"/>
      </w:pPr>
    </w:lvl>
    <w:lvl w:ilvl="5" w:tplc="457C380A">
      <w:start w:val="1"/>
      <w:numFmt w:val="decimal"/>
      <w:lvlText w:val="%6."/>
      <w:lvlJc w:val="left"/>
      <w:pPr>
        <w:tabs>
          <w:tab w:val="num" w:pos="4320"/>
        </w:tabs>
        <w:ind w:left="4320" w:hanging="360"/>
      </w:pPr>
    </w:lvl>
    <w:lvl w:ilvl="6" w:tplc="598EEF78">
      <w:start w:val="1"/>
      <w:numFmt w:val="decimal"/>
      <w:lvlText w:val="%7."/>
      <w:lvlJc w:val="left"/>
      <w:pPr>
        <w:tabs>
          <w:tab w:val="num" w:pos="5040"/>
        </w:tabs>
        <w:ind w:left="5040" w:hanging="360"/>
      </w:pPr>
    </w:lvl>
    <w:lvl w:ilvl="7" w:tplc="98D0ED36">
      <w:start w:val="1"/>
      <w:numFmt w:val="decimal"/>
      <w:lvlText w:val="%8."/>
      <w:lvlJc w:val="left"/>
      <w:pPr>
        <w:tabs>
          <w:tab w:val="num" w:pos="5760"/>
        </w:tabs>
        <w:ind w:left="5760" w:hanging="360"/>
      </w:pPr>
    </w:lvl>
    <w:lvl w:ilvl="8" w:tplc="BA387498">
      <w:start w:val="1"/>
      <w:numFmt w:val="decimal"/>
      <w:lvlText w:val="%9."/>
      <w:lvlJc w:val="left"/>
      <w:pPr>
        <w:tabs>
          <w:tab w:val="num" w:pos="6480"/>
        </w:tabs>
        <w:ind w:left="6480" w:hanging="360"/>
      </w:pPr>
    </w:lvl>
  </w:abstractNum>
  <w:abstractNum w:abstractNumId="10" w15:restartNumberingAfterBreak="0">
    <w:nsid w:val="3DD3766B"/>
    <w:multiLevelType w:val="hybridMultilevel"/>
    <w:tmpl w:val="950EE316"/>
    <w:lvl w:ilvl="0" w:tplc="8556C9D6">
      <w:start w:val="1"/>
      <w:numFmt w:val="bullet"/>
      <w:lvlText w:val="•"/>
      <w:lvlJc w:val="left"/>
      <w:pPr>
        <w:tabs>
          <w:tab w:val="num" w:pos="720"/>
        </w:tabs>
        <w:ind w:left="720" w:hanging="360"/>
      </w:pPr>
      <w:rPr>
        <w:rFonts w:ascii="Arial" w:hAnsi="Arial" w:cs="Times New Roman" w:hint="default"/>
      </w:rPr>
    </w:lvl>
    <w:lvl w:ilvl="1" w:tplc="D2F6BDBE">
      <w:start w:val="1"/>
      <w:numFmt w:val="decimal"/>
      <w:lvlText w:val="%2."/>
      <w:lvlJc w:val="left"/>
      <w:pPr>
        <w:tabs>
          <w:tab w:val="num" w:pos="1440"/>
        </w:tabs>
        <w:ind w:left="1440" w:hanging="360"/>
      </w:pPr>
    </w:lvl>
    <w:lvl w:ilvl="2" w:tplc="C4544C72">
      <w:start w:val="1"/>
      <w:numFmt w:val="decimal"/>
      <w:lvlText w:val="%3."/>
      <w:lvlJc w:val="left"/>
      <w:pPr>
        <w:tabs>
          <w:tab w:val="num" w:pos="2160"/>
        </w:tabs>
        <w:ind w:left="2160" w:hanging="360"/>
      </w:pPr>
    </w:lvl>
    <w:lvl w:ilvl="3" w:tplc="20D04010">
      <w:start w:val="1"/>
      <w:numFmt w:val="decimal"/>
      <w:lvlText w:val="%4."/>
      <w:lvlJc w:val="left"/>
      <w:pPr>
        <w:tabs>
          <w:tab w:val="num" w:pos="2880"/>
        </w:tabs>
        <w:ind w:left="2880" w:hanging="360"/>
      </w:pPr>
    </w:lvl>
    <w:lvl w:ilvl="4" w:tplc="F9689B00">
      <w:start w:val="1"/>
      <w:numFmt w:val="decimal"/>
      <w:lvlText w:val="%5."/>
      <w:lvlJc w:val="left"/>
      <w:pPr>
        <w:tabs>
          <w:tab w:val="num" w:pos="3600"/>
        </w:tabs>
        <w:ind w:left="3600" w:hanging="360"/>
      </w:pPr>
    </w:lvl>
    <w:lvl w:ilvl="5" w:tplc="EAFEB8C2">
      <w:start w:val="1"/>
      <w:numFmt w:val="decimal"/>
      <w:lvlText w:val="%6."/>
      <w:lvlJc w:val="left"/>
      <w:pPr>
        <w:tabs>
          <w:tab w:val="num" w:pos="4320"/>
        </w:tabs>
        <w:ind w:left="4320" w:hanging="360"/>
      </w:pPr>
    </w:lvl>
    <w:lvl w:ilvl="6" w:tplc="9F7256C4">
      <w:start w:val="1"/>
      <w:numFmt w:val="decimal"/>
      <w:lvlText w:val="%7."/>
      <w:lvlJc w:val="left"/>
      <w:pPr>
        <w:tabs>
          <w:tab w:val="num" w:pos="5040"/>
        </w:tabs>
        <w:ind w:left="5040" w:hanging="360"/>
      </w:pPr>
    </w:lvl>
    <w:lvl w:ilvl="7" w:tplc="23D2AC1C">
      <w:start w:val="1"/>
      <w:numFmt w:val="decimal"/>
      <w:lvlText w:val="%8."/>
      <w:lvlJc w:val="left"/>
      <w:pPr>
        <w:tabs>
          <w:tab w:val="num" w:pos="5760"/>
        </w:tabs>
        <w:ind w:left="5760" w:hanging="360"/>
      </w:pPr>
    </w:lvl>
    <w:lvl w:ilvl="8" w:tplc="3D961498">
      <w:start w:val="1"/>
      <w:numFmt w:val="decimal"/>
      <w:lvlText w:val="%9."/>
      <w:lvlJc w:val="left"/>
      <w:pPr>
        <w:tabs>
          <w:tab w:val="num" w:pos="6480"/>
        </w:tabs>
        <w:ind w:left="6480" w:hanging="360"/>
      </w:pPr>
    </w:lvl>
  </w:abstractNum>
  <w:abstractNum w:abstractNumId="11" w15:restartNumberingAfterBreak="0">
    <w:nsid w:val="4F2E5449"/>
    <w:multiLevelType w:val="multilevel"/>
    <w:tmpl w:val="0330C32C"/>
    <w:lvl w:ilvl="0">
      <w:start w:val="1"/>
      <w:numFmt w:val="decimal"/>
      <w:lvlText w:val="%1."/>
      <w:lvlJc w:val="left"/>
      <w:pPr>
        <w:ind w:left="644" w:hanging="360"/>
      </w:pPr>
      <w:rPr>
        <w:rFonts w:hint="default"/>
        <w:b/>
        <w:color w:val="FFFFFF" w:themeColor="background1"/>
      </w:rPr>
    </w:lvl>
    <w:lvl w:ilvl="1">
      <w:start w:val="1"/>
      <w:numFmt w:val="decimal"/>
      <w:isLgl/>
      <w:lvlText w:val="%1.%2."/>
      <w:lvlJc w:val="left"/>
      <w:pPr>
        <w:ind w:left="710"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59C525C2"/>
    <w:multiLevelType w:val="hybridMultilevel"/>
    <w:tmpl w:val="6E9CD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357F30"/>
    <w:multiLevelType w:val="hybridMultilevel"/>
    <w:tmpl w:val="61BCC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1841DCC"/>
    <w:multiLevelType w:val="hybridMultilevel"/>
    <w:tmpl w:val="9FAC3740"/>
    <w:lvl w:ilvl="0" w:tplc="0C9C367C">
      <w:start w:val="2015"/>
      <w:numFmt w:val="bullet"/>
      <w:lvlText w:val="-"/>
      <w:lvlJc w:val="left"/>
      <w:pPr>
        <w:ind w:left="927" w:hanging="360"/>
      </w:pPr>
      <w:rPr>
        <w:rFonts w:ascii="Arial" w:eastAsiaTheme="minorEastAsia"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5" w15:restartNumberingAfterBreak="0">
    <w:nsid w:val="786F036A"/>
    <w:multiLevelType w:val="hybridMultilevel"/>
    <w:tmpl w:val="3DBA73DE"/>
    <w:lvl w:ilvl="0" w:tplc="080A0001">
      <w:start w:val="1"/>
      <w:numFmt w:val="bullet"/>
      <w:lvlText w:val=""/>
      <w:lvlJc w:val="left"/>
      <w:pPr>
        <w:ind w:left="1431" w:hanging="360"/>
      </w:pPr>
      <w:rPr>
        <w:rFonts w:ascii="Symbol" w:hAnsi="Symbol" w:hint="default"/>
      </w:rPr>
    </w:lvl>
    <w:lvl w:ilvl="1" w:tplc="080A0003" w:tentative="1">
      <w:start w:val="1"/>
      <w:numFmt w:val="bullet"/>
      <w:lvlText w:val="o"/>
      <w:lvlJc w:val="left"/>
      <w:pPr>
        <w:ind w:left="2151" w:hanging="360"/>
      </w:pPr>
      <w:rPr>
        <w:rFonts w:ascii="Courier New" w:hAnsi="Courier New" w:cs="Courier New" w:hint="default"/>
      </w:rPr>
    </w:lvl>
    <w:lvl w:ilvl="2" w:tplc="080A0005" w:tentative="1">
      <w:start w:val="1"/>
      <w:numFmt w:val="bullet"/>
      <w:lvlText w:val=""/>
      <w:lvlJc w:val="left"/>
      <w:pPr>
        <w:ind w:left="2871" w:hanging="360"/>
      </w:pPr>
      <w:rPr>
        <w:rFonts w:ascii="Wingdings" w:hAnsi="Wingdings" w:hint="default"/>
      </w:rPr>
    </w:lvl>
    <w:lvl w:ilvl="3" w:tplc="080A0001" w:tentative="1">
      <w:start w:val="1"/>
      <w:numFmt w:val="bullet"/>
      <w:lvlText w:val=""/>
      <w:lvlJc w:val="left"/>
      <w:pPr>
        <w:ind w:left="3591" w:hanging="360"/>
      </w:pPr>
      <w:rPr>
        <w:rFonts w:ascii="Symbol" w:hAnsi="Symbol" w:hint="default"/>
      </w:rPr>
    </w:lvl>
    <w:lvl w:ilvl="4" w:tplc="080A0003" w:tentative="1">
      <w:start w:val="1"/>
      <w:numFmt w:val="bullet"/>
      <w:lvlText w:val="o"/>
      <w:lvlJc w:val="left"/>
      <w:pPr>
        <w:ind w:left="4311" w:hanging="360"/>
      </w:pPr>
      <w:rPr>
        <w:rFonts w:ascii="Courier New" w:hAnsi="Courier New" w:cs="Courier New" w:hint="default"/>
      </w:rPr>
    </w:lvl>
    <w:lvl w:ilvl="5" w:tplc="080A0005" w:tentative="1">
      <w:start w:val="1"/>
      <w:numFmt w:val="bullet"/>
      <w:lvlText w:val=""/>
      <w:lvlJc w:val="left"/>
      <w:pPr>
        <w:ind w:left="5031" w:hanging="360"/>
      </w:pPr>
      <w:rPr>
        <w:rFonts w:ascii="Wingdings" w:hAnsi="Wingdings" w:hint="default"/>
      </w:rPr>
    </w:lvl>
    <w:lvl w:ilvl="6" w:tplc="080A0001" w:tentative="1">
      <w:start w:val="1"/>
      <w:numFmt w:val="bullet"/>
      <w:lvlText w:val=""/>
      <w:lvlJc w:val="left"/>
      <w:pPr>
        <w:ind w:left="5751" w:hanging="360"/>
      </w:pPr>
      <w:rPr>
        <w:rFonts w:ascii="Symbol" w:hAnsi="Symbol" w:hint="default"/>
      </w:rPr>
    </w:lvl>
    <w:lvl w:ilvl="7" w:tplc="080A0003" w:tentative="1">
      <w:start w:val="1"/>
      <w:numFmt w:val="bullet"/>
      <w:lvlText w:val="o"/>
      <w:lvlJc w:val="left"/>
      <w:pPr>
        <w:ind w:left="6471" w:hanging="360"/>
      </w:pPr>
      <w:rPr>
        <w:rFonts w:ascii="Courier New" w:hAnsi="Courier New" w:cs="Courier New" w:hint="default"/>
      </w:rPr>
    </w:lvl>
    <w:lvl w:ilvl="8" w:tplc="080A0005" w:tentative="1">
      <w:start w:val="1"/>
      <w:numFmt w:val="bullet"/>
      <w:lvlText w:val=""/>
      <w:lvlJc w:val="left"/>
      <w:pPr>
        <w:ind w:left="7191" w:hanging="360"/>
      </w:pPr>
      <w:rPr>
        <w:rFonts w:ascii="Wingdings" w:hAnsi="Wingdings" w:hint="default"/>
      </w:rPr>
    </w:lvl>
  </w:abstractNum>
  <w:num w:numId="1">
    <w:abstractNumId w:val="7"/>
  </w:num>
  <w:num w:numId="2">
    <w:abstractNumId w:val="0"/>
  </w:num>
  <w:num w:numId="3">
    <w:abstractNumId w:val="15"/>
  </w:num>
  <w:num w:numId="4">
    <w:abstractNumId w:val="11"/>
  </w:num>
  <w:num w:numId="5">
    <w:abstractNumId w:val="5"/>
  </w:num>
  <w:num w:numId="6">
    <w:abstractNumId w:val="6"/>
  </w:num>
  <w:num w:numId="7">
    <w:abstractNumId w:val="2"/>
  </w:num>
  <w:num w:numId="8">
    <w:abstractNumId w:val="12"/>
  </w:num>
  <w:num w:numId="9">
    <w:abstractNumId w:val="13"/>
  </w:num>
  <w:num w:numId="10">
    <w:abstractNumId w:val="3"/>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B70"/>
    <w:rsid w:val="00012439"/>
    <w:rsid w:val="00023BB2"/>
    <w:rsid w:val="00027D8B"/>
    <w:rsid w:val="00037426"/>
    <w:rsid w:val="00044D6F"/>
    <w:rsid w:val="00046436"/>
    <w:rsid w:val="00060056"/>
    <w:rsid w:val="00062618"/>
    <w:rsid w:val="000630DE"/>
    <w:rsid w:val="000825F1"/>
    <w:rsid w:val="000C3119"/>
    <w:rsid w:val="00101463"/>
    <w:rsid w:val="001028FA"/>
    <w:rsid w:val="001049A2"/>
    <w:rsid w:val="00114ACA"/>
    <w:rsid w:val="00132BE3"/>
    <w:rsid w:val="00133282"/>
    <w:rsid w:val="00137C5E"/>
    <w:rsid w:val="00163E86"/>
    <w:rsid w:val="001667D0"/>
    <w:rsid w:val="00177671"/>
    <w:rsid w:val="001909FB"/>
    <w:rsid w:val="001B0739"/>
    <w:rsid w:val="001D3B99"/>
    <w:rsid w:val="001E629C"/>
    <w:rsid w:val="001F3B02"/>
    <w:rsid w:val="001F4E16"/>
    <w:rsid w:val="00221780"/>
    <w:rsid w:val="00235993"/>
    <w:rsid w:val="00252C0F"/>
    <w:rsid w:val="0028289B"/>
    <w:rsid w:val="00284285"/>
    <w:rsid w:val="002850EF"/>
    <w:rsid w:val="00296252"/>
    <w:rsid w:val="002A7940"/>
    <w:rsid w:val="002B7819"/>
    <w:rsid w:val="002C2E01"/>
    <w:rsid w:val="002D2E94"/>
    <w:rsid w:val="002E6F64"/>
    <w:rsid w:val="0030090B"/>
    <w:rsid w:val="00301C3E"/>
    <w:rsid w:val="0030668F"/>
    <w:rsid w:val="00322F79"/>
    <w:rsid w:val="00345BFD"/>
    <w:rsid w:val="003568B2"/>
    <w:rsid w:val="00377775"/>
    <w:rsid w:val="00385418"/>
    <w:rsid w:val="003952EC"/>
    <w:rsid w:val="003D5285"/>
    <w:rsid w:val="003D57BC"/>
    <w:rsid w:val="0042277A"/>
    <w:rsid w:val="004449BF"/>
    <w:rsid w:val="00445CB0"/>
    <w:rsid w:val="00457090"/>
    <w:rsid w:val="0046639D"/>
    <w:rsid w:val="00495DC8"/>
    <w:rsid w:val="004B55AE"/>
    <w:rsid w:val="004B63C2"/>
    <w:rsid w:val="004E0AB0"/>
    <w:rsid w:val="00512EF2"/>
    <w:rsid w:val="0051452B"/>
    <w:rsid w:val="00531EF9"/>
    <w:rsid w:val="005560E2"/>
    <w:rsid w:val="00557BDB"/>
    <w:rsid w:val="00573B70"/>
    <w:rsid w:val="00574951"/>
    <w:rsid w:val="00577205"/>
    <w:rsid w:val="005907A5"/>
    <w:rsid w:val="005929DF"/>
    <w:rsid w:val="00596D21"/>
    <w:rsid w:val="005A24D0"/>
    <w:rsid w:val="005B4837"/>
    <w:rsid w:val="005C54B6"/>
    <w:rsid w:val="005E6B38"/>
    <w:rsid w:val="0062452F"/>
    <w:rsid w:val="006275C2"/>
    <w:rsid w:val="006305AC"/>
    <w:rsid w:val="00633565"/>
    <w:rsid w:val="00637AFA"/>
    <w:rsid w:val="006B4FC2"/>
    <w:rsid w:val="006B78D2"/>
    <w:rsid w:val="006C2216"/>
    <w:rsid w:val="006D1177"/>
    <w:rsid w:val="006D2260"/>
    <w:rsid w:val="006D4B80"/>
    <w:rsid w:val="006F6984"/>
    <w:rsid w:val="00704976"/>
    <w:rsid w:val="0071037E"/>
    <w:rsid w:val="00710C0C"/>
    <w:rsid w:val="00737086"/>
    <w:rsid w:val="00741E38"/>
    <w:rsid w:val="00754212"/>
    <w:rsid w:val="00760166"/>
    <w:rsid w:val="00795711"/>
    <w:rsid w:val="007A2F4D"/>
    <w:rsid w:val="007A5EFC"/>
    <w:rsid w:val="007A7FBF"/>
    <w:rsid w:val="007B46D3"/>
    <w:rsid w:val="007C1D9A"/>
    <w:rsid w:val="007C57AE"/>
    <w:rsid w:val="007D7020"/>
    <w:rsid w:val="007E73C3"/>
    <w:rsid w:val="00807941"/>
    <w:rsid w:val="00811288"/>
    <w:rsid w:val="008133F1"/>
    <w:rsid w:val="00824F3A"/>
    <w:rsid w:val="00846759"/>
    <w:rsid w:val="00853DC8"/>
    <w:rsid w:val="008973C0"/>
    <w:rsid w:val="008A2D78"/>
    <w:rsid w:val="008C1574"/>
    <w:rsid w:val="008C1EA5"/>
    <w:rsid w:val="008D2738"/>
    <w:rsid w:val="008D4CC4"/>
    <w:rsid w:val="008F4ECB"/>
    <w:rsid w:val="008F6FAE"/>
    <w:rsid w:val="00907BF8"/>
    <w:rsid w:val="0091149A"/>
    <w:rsid w:val="00965EE6"/>
    <w:rsid w:val="00970D7B"/>
    <w:rsid w:val="009833DC"/>
    <w:rsid w:val="009A0E11"/>
    <w:rsid w:val="009A306D"/>
    <w:rsid w:val="009B7305"/>
    <w:rsid w:val="009C3CC4"/>
    <w:rsid w:val="009C4451"/>
    <w:rsid w:val="009E33B0"/>
    <w:rsid w:val="00A263FB"/>
    <w:rsid w:val="00A3098D"/>
    <w:rsid w:val="00A3410E"/>
    <w:rsid w:val="00A342FE"/>
    <w:rsid w:val="00A344E6"/>
    <w:rsid w:val="00A47A26"/>
    <w:rsid w:val="00A75C59"/>
    <w:rsid w:val="00A86702"/>
    <w:rsid w:val="00A9093E"/>
    <w:rsid w:val="00A9166E"/>
    <w:rsid w:val="00A9465D"/>
    <w:rsid w:val="00AA020D"/>
    <w:rsid w:val="00AA2E9F"/>
    <w:rsid w:val="00AB6D06"/>
    <w:rsid w:val="00AC4EA8"/>
    <w:rsid w:val="00AD7680"/>
    <w:rsid w:val="00B134BD"/>
    <w:rsid w:val="00B14744"/>
    <w:rsid w:val="00B276F4"/>
    <w:rsid w:val="00B47547"/>
    <w:rsid w:val="00B60713"/>
    <w:rsid w:val="00B7561A"/>
    <w:rsid w:val="00BC2541"/>
    <w:rsid w:val="00BC34A6"/>
    <w:rsid w:val="00BE2EBB"/>
    <w:rsid w:val="00C12C92"/>
    <w:rsid w:val="00C23B96"/>
    <w:rsid w:val="00C27AF7"/>
    <w:rsid w:val="00C360DE"/>
    <w:rsid w:val="00C370AA"/>
    <w:rsid w:val="00C37897"/>
    <w:rsid w:val="00C44909"/>
    <w:rsid w:val="00C72455"/>
    <w:rsid w:val="00C900B5"/>
    <w:rsid w:val="00C95E78"/>
    <w:rsid w:val="00CA01DC"/>
    <w:rsid w:val="00CF6447"/>
    <w:rsid w:val="00CF7AF7"/>
    <w:rsid w:val="00D251BE"/>
    <w:rsid w:val="00D30936"/>
    <w:rsid w:val="00D37028"/>
    <w:rsid w:val="00D37E98"/>
    <w:rsid w:val="00D46E77"/>
    <w:rsid w:val="00D6556C"/>
    <w:rsid w:val="00D86580"/>
    <w:rsid w:val="00D92862"/>
    <w:rsid w:val="00DC02C5"/>
    <w:rsid w:val="00DC4090"/>
    <w:rsid w:val="00DD3B6B"/>
    <w:rsid w:val="00DD53BA"/>
    <w:rsid w:val="00DE329A"/>
    <w:rsid w:val="00DE7ABC"/>
    <w:rsid w:val="00DF19AB"/>
    <w:rsid w:val="00E0113E"/>
    <w:rsid w:val="00E07479"/>
    <w:rsid w:val="00E615A4"/>
    <w:rsid w:val="00E67B63"/>
    <w:rsid w:val="00E72516"/>
    <w:rsid w:val="00E860AF"/>
    <w:rsid w:val="00EA692B"/>
    <w:rsid w:val="00EF56E2"/>
    <w:rsid w:val="00F01F80"/>
    <w:rsid w:val="00F03C8C"/>
    <w:rsid w:val="00F137A9"/>
    <w:rsid w:val="00F24EC4"/>
    <w:rsid w:val="00F309BF"/>
    <w:rsid w:val="00F42DE2"/>
    <w:rsid w:val="00F44C08"/>
    <w:rsid w:val="00F46C3A"/>
    <w:rsid w:val="00F550DE"/>
    <w:rsid w:val="00F66D53"/>
    <w:rsid w:val="00F80D58"/>
    <w:rsid w:val="00F85A0D"/>
    <w:rsid w:val="00F86637"/>
    <w:rsid w:val="00F97C88"/>
    <w:rsid w:val="00FA03C4"/>
    <w:rsid w:val="00FD1807"/>
    <w:rsid w:val="00FF1D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63D62B9-ED39-49E2-B4E6-FF075FD7E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B70"/>
  </w:style>
  <w:style w:type="paragraph" w:styleId="Heading1">
    <w:name w:val="heading 1"/>
    <w:basedOn w:val="Normal"/>
    <w:next w:val="Normal"/>
    <w:link w:val="Heading1Char"/>
    <w:uiPriority w:val="9"/>
    <w:qFormat/>
    <w:rsid w:val="00573B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3B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B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3B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73B70"/>
    <w:pPr>
      <w:spacing w:after="0" w:line="240" w:lineRule="auto"/>
      <w:ind w:left="720"/>
    </w:pPr>
    <w:rPr>
      <w:rFonts w:ascii="Times New Roman" w:eastAsia="MS Mincho" w:hAnsi="Times New Roman" w:cs="Times New Roman"/>
      <w:sz w:val="24"/>
      <w:szCs w:val="20"/>
    </w:rPr>
  </w:style>
  <w:style w:type="paragraph" w:customStyle="1" w:styleId="m3670560185983626822msolistparagraph">
    <w:name w:val="m_3670560185983626822msolistparagraph"/>
    <w:basedOn w:val="Normal"/>
    <w:rsid w:val="00573B7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yperlink">
    <w:name w:val="Hyperlink"/>
    <w:basedOn w:val="DefaultParagraphFont"/>
    <w:uiPriority w:val="99"/>
    <w:unhideWhenUsed/>
    <w:rsid w:val="004E0AB0"/>
    <w:rPr>
      <w:color w:val="0000FF" w:themeColor="hyperlink"/>
      <w:u w:val="single"/>
    </w:rPr>
  </w:style>
  <w:style w:type="table" w:styleId="MediumGrid1-Accent2">
    <w:name w:val="Medium Grid 1 Accent 2"/>
    <w:basedOn w:val="TableNormal"/>
    <w:uiPriority w:val="67"/>
    <w:rsid w:val="00445CB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Header">
    <w:name w:val="header"/>
    <w:basedOn w:val="Normal"/>
    <w:link w:val="HeaderChar"/>
    <w:uiPriority w:val="99"/>
    <w:unhideWhenUsed/>
    <w:rsid w:val="00445CB0"/>
    <w:pPr>
      <w:tabs>
        <w:tab w:val="center" w:pos="4419"/>
        <w:tab w:val="right" w:pos="8838"/>
      </w:tabs>
      <w:spacing w:after="0" w:line="240" w:lineRule="auto"/>
    </w:pPr>
  </w:style>
  <w:style w:type="character" w:customStyle="1" w:styleId="HeaderChar">
    <w:name w:val="Header Char"/>
    <w:basedOn w:val="DefaultParagraphFont"/>
    <w:link w:val="Header"/>
    <w:uiPriority w:val="99"/>
    <w:rsid w:val="00445CB0"/>
  </w:style>
  <w:style w:type="paragraph" w:styleId="Footer">
    <w:name w:val="footer"/>
    <w:basedOn w:val="Normal"/>
    <w:link w:val="FooterChar"/>
    <w:uiPriority w:val="99"/>
    <w:unhideWhenUsed/>
    <w:rsid w:val="00445CB0"/>
    <w:pPr>
      <w:tabs>
        <w:tab w:val="center" w:pos="4419"/>
        <w:tab w:val="right" w:pos="8838"/>
      </w:tabs>
      <w:spacing w:after="0" w:line="240" w:lineRule="auto"/>
    </w:pPr>
  </w:style>
  <w:style w:type="character" w:customStyle="1" w:styleId="FooterChar">
    <w:name w:val="Footer Char"/>
    <w:basedOn w:val="DefaultParagraphFont"/>
    <w:link w:val="Footer"/>
    <w:uiPriority w:val="99"/>
    <w:rsid w:val="00445CB0"/>
  </w:style>
  <w:style w:type="paragraph" w:styleId="BalloonText">
    <w:name w:val="Balloon Text"/>
    <w:basedOn w:val="Normal"/>
    <w:link w:val="BalloonTextChar"/>
    <w:uiPriority w:val="99"/>
    <w:semiHidden/>
    <w:unhideWhenUsed/>
    <w:rsid w:val="00637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AFA"/>
    <w:rPr>
      <w:rFonts w:ascii="Tahoma" w:hAnsi="Tahoma" w:cs="Tahoma"/>
      <w:sz w:val="16"/>
      <w:szCs w:val="16"/>
    </w:rPr>
  </w:style>
  <w:style w:type="table" w:styleId="MediumShading1-Accent2">
    <w:name w:val="Medium Shading 1 Accent 2"/>
    <w:basedOn w:val="TableNormal"/>
    <w:uiPriority w:val="63"/>
    <w:rsid w:val="00AB6D0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List2-Accent2">
    <w:name w:val="Medium List 2 Accent 2"/>
    <w:basedOn w:val="TableNormal"/>
    <w:uiPriority w:val="66"/>
    <w:rsid w:val="00AB6D0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
    <w:name w:val="Colorful List"/>
    <w:basedOn w:val="TableNormal"/>
    <w:uiPriority w:val="72"/>
    <w:rsid w:val="00AB6D0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2">
    <w:name w:val="Colorful List Accent 2"/>
    <w:basedOn w:val="TableNormal"/>
    <w:uiPriority w:val="72"/>
    <w:rsid w:val="00AB6D0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0"/>
    <w:rsid w:val="00AB6D0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2-Accent2">
    <w:name w:val="Medium Grid 2 Accent 2"/>
    <w:basedOn w:val="TableNormal"/>
    <w:uiPriority w:val="68"/>
    <w:rsid w:val="00AB6D0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Shading2-Accent2">
    <w:name w:val="Medium Shading 2 Accent 2"/>
    <w:basedOn w:val="TableNormal"/>
    <w:uiPriority w:val="64"/>
    <w:rsid w:val="00AB6D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2">
    <w:name w:val="Colorful Shading Accent 2"/>
    <w:basedOn w:val="TableNormal"/>
    <w:uiPriority w:val="71"/>
    <w:rsid w:val="00AB6D0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MediumShading1-Accent6">
    <w:name w:val="Medium Shading 1 Accent 6"/>
    <w:basedOn w:val="TableNormal"/>
    <w:uiPriority w:val="63"/>
    <w:rsid w:val="009A306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9A306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6">
    <w:name w:val="Medium Shading 2 Accent 6"/>
    <w:basedOn w:val="TableNormal"/>
    <w:uiPriority w:val="64"/>
    <w:rsid w:val="009A30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E07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E074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DarkList-Accent2">
    <w:name w:val="Dark List Accent 2"/>
    <w:basedOn w:val="TableNormal"/>
    <w:uiPriority w:val="70"/>
    <w:rsid w:val="00377775"/>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Tabladecuadrcula4-nfasis21">
    <w:name w:val="Tabla de cuadrícula 4 - Énfasis 21"/>
    <w:basedOn w:val="TableNormal"/>
    <w:uiPriority w:val="49"/>
    <w:rsid w:val="005C54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4-nfasis21">
    <w:name w:val="Tabla de lista 4 - Énfasis 21"/>
    <w:basedOn w:val="TableNormal"/>
    <w:uiPriority w:val="49"/>
    <w:rsid w:val="00B1474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noteText">
    <w:name w:val="footnote text"/>
    <w:basedOn w:val="Normal"/>
    <w:link w:val="FootnoteTextChar"/>
    <w:uiPriority w:val="99"/>
    <w:semiHidden/>
    <w:unhideWhenUsed/>
    <w:rsid w:val="0051452B"/>
    <w:pPr>
      <w:spacing w:after="0" w:line="240" w:lineRule="auto"/>
      <w:ind w:left="284"/>
    </w:pPr>
    <w:rPr>
      <w:sz w:val="20"/>
      <w:szCs w:val="20"/>
      <w:lang w:val="es-ES"/>
    </w:rPr>
  </w:style>
  <w:style w:type="character" w:customStyle="1" w:styleId="FootnoteTextChar">
    <w:name w:val="Footnote Text Char"/>
    <w:basedOn w:val="DefaultParagraphFont"/>
    <w:link w:val="FootnoteText"/>
    <w:uiPriority w:val="99"/>
    <w:semiHidden/>
    <w:rsid w:val="0051452B"/>
    <w:rPr>
      <w:sz w:val="20"/>
      <w:szCs w:val="20"/>
      <w:lang w:val="es-ES"/>
    </w:rPr>
  </w:style>
  <w:style w:type="character" w:styleId="FootnoteReference">
    <w:name w:val="footnote reference"/>
    <w:basedOn w:val="DefaultParagraphFont"/>
    <w:uiPriority w:val="99"/>
    <w:semiHidden/>
    <w:unhideWhenUsed/>
    <w:rsid w:val="0051452B"/>
    <w:rPr>
      <w:vertAlign w:val="superscript"/>
    </w:rPr>
  </w:style>
  <w:style w:type="table" w:styleId="LightShading-Accent1">
    <w:name w:val="Light Shading Accent 1"/>
    <w:basedOn w:val="TableNormal"/>
    <w:uiPriority w:val="60"/>
    <w:rsid w:val="0051452B"/>
    <w:pPr>
      <w:spacing w:after="0" w:line="240" w:lineRule="auto"/>
      <w:ind w:left="284"/>
    </w:pPr>
    <w:rPr>
      <w:color w:val="365F91" w:themeColor="accent1" w:themeShade="BF"/>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42277A"/>
    <w:pPr>
      <w:spacing w:before="240" w:line="259" w:lineRule="auto"/>
      <w:outlineLvl w:val="9"/>
    </w:pPr>
    <w:rPr>
      <w:b w:val="0"/>
      <w:bCs w:val="0"/>
      <w:sz w:val="32"/>
      <w:szCs w:val="32"/>
      <w:lang w:eastAsia="es-MX"/>
    </w:rPr>
  </w:style>
  <w:style w:type="paragraph" w:styleId="TOC1">
    <w:name w:val="toc 1"/>
    <w:basedOn w:val="Normal"/>
    <w:next w:val="Normal"/>
    <w:autoRedefine/>
    <w:uiPriority w:val="39"/>
    <w:unhideWhenUsed/>
    <w:rsid w:val="0042277A"/>
    <w:pPr>
      <w:spacing w:after="100"/>
    </w:pPr>
  </w:style>
  <w:style w:type="paragraph" w:styleId="TOC2">
    <w:name w:val="toc 2"/>
    <w:basedOn w:val="Normal"/>
    <w:next w:val="Normal"/>
    <w:autoRedefine/>
    <w:uiPriority w:val="39"/>
    <w:unhideWhenUsed/>
    <w:rsid w:val="0042277A"/>
    <w:pPr>
      <w:spacing w:after="100"/>
      <w:ind w:left="220"/>
    </w:pPr>
  </w:style>
  <w:style w:type="table" w:styleId="GridTable6Colorful-Accent2">
    <w:name w:val="Grid Table 6 Colorful Accent 2"/>
    <w:basedOn w:val="TableNormal"/>
    <w:uiPriority w:val="51"/>
    <w:rsid w:val="00A47A2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0237">
      <w:bodyDiv w:val="1"/>
      <w:marLeft w:val="0"/>
      <w:marRight w:val="0"/>
      <w:marTop w:val="0"/>
      <w:marBottom w:val="0"/>
      <w:divBdr>
        <w:top w:val="none" w:sz="0" w:space="0" w:color="auto"/>
        <w:left w:val="none" w:sz="0" w:space="0" w:color="auto"/>
        <w:bottom w:val="none" w:sz="0" w:space="0" w:color="auto"/>
        <w:right w:val="none" w:sz="0" w:space="0" w:color="auto"/>
      </w:divBdr>
    </w:div>
    <w:div w:id="126512702">
      <w:bodyDiv w:val="1"/>
      <w:marLeft w:val="0"/>
      <w:marRight w:val="0"/>
      <w:marTop w:val="0"/>
      <w:marBottom w:val="0"/>
      <w:divBdr>
        <w:top w:val="none" w:sz="0" w:space="0" w:color="auto"/>
        <w:left w:val="none" w:sz="0" w:space="0" w:color="auto"/>
        <w:bottom w:val="none" w:sz="0" w:space="0" w:color="auto"/>
        <w:right w:val="none" w:sz="0" w:space="0" w:color="auto"/>
      </w:divBdr>
    </w:div>
    <w:div w:id="276764240">
      <w:bodyDiv w:val="1"/>
      <w:marLeft w:val="0"/>
      <w:marRight w:val="0"/>
      <w:marTop w:val="0"/>
      <w:marBottom w:val="0"/>
      <w:divBdr>
        <w:top w:val="none" w:sz="0" w:space="0" w:color="auto"/>
        <w:left w:val="none" w:sz="0" w:space="0" w:color="auto"/>
        <w:bottom w:val="none" w:sz="0" w:space="0" w:color="auto"/>
        <w:right w:val="none" w:sz="0" w:space="0" w:color="auto"/>
      </w:divBdr>
    </w:div>
    <w:div w:id="408234529">
      <w:bodyDiv w:val="1"/>
      <w:marLeft w:val="0"/>
      <w:marRight w:val="0"/>
      <w:marTop w:val="0"/>
      <w:marBottom w:val="0"/>
      <w:divBdr>
        <w:top w:val="none" w:sz="0" w:space="0" w:color="auto"/>
        <w:left w:val="none" w:sz="0" w:space="0" w:color="auto"/>
        <w:bottom w:val="none" w:sz="0" w:space="0" w:color="auto"/>
        <w:right w:val="none" w:sz="0" w:space="0" w:color="auto"/>
      </w:divBdr>
    </w:div>
    <w:div w:id="439761723">
      <w:bodyDiv w:val="1"/>
      <w:marLeft w:val="0"/>
      <w:marRight w:val="0"/>
      <w:marTop w:val="0"/>
      <w:marBottom w:val="0"/>
      <w:divBdr>
        <w:top w:val="none" w:sz="0" w:space="0" w:color="auto"/>
        <w:left w:val="none" w:sz="0" w:space="0" w:color="auto"/>
        <w:bottom w:val="none" w:sz="0" w:space="0" w:color="auto"/>
        <w:right w:val="none" w:sz="0" w:space="0" w:color="auto"/>
      </w:divBdr>
    </w:div>
    <w:div w:id="477966288">
      <w:bodyDiv w:val="1"/>
      <w:marLeft w:val="0"/>
      <w:marRight w:val="0"/>
      <w:marTop w:val="0"/>
      <w:marBottom w:val="0"/>
      <w:divBdr>
        <w:top w:val="none" w:sz="0" w:space="0" w:color="auto"/>
        <w:left w:val="none" w:sz="0" w:space="0" w:color="auto"/>
        <w:bottom w:val="none" w:sz="0" w:space="0" w:color="auto"/>
        <w:right w:val="none" w:sz="0" w:space="0" w:color="auto"/>
      </w:divBdr>
    </w:div>
    <w:div w:id="590238868">
      <w:bodyDiv w:val="1"/>
      <w:marLeft w:val="0"/>
      <w:marRight w:val="0"/>
      <w:marTop w:val="0"/>
      <w:marBottom w:val="0"/>
      <w:divBdr>
        <w:top w:val="none" w:sz="0" w:space="0" w:color="auto"/>
        <w:left w:val="none" w:sz="0" w:space="0" w:color="auto"/>
        <w:bottom w:val="none" w:sz="0" w:space="0" w:color="auto"/>
        <w:right w:val="none" w:sz="0" w:space="0" w:color="auto"/>
      </w:divBdr>
    </w:div>
    <w:div w:id="717701947">
      <w:bodyDiv w:val="1"/>
      <w:marLeft w:val="0"/>
      <w:marRight w:val="0"/>
      <w:marTop w:val="0"/>
      <w:marBottom w:val="0"/>
      <w:divBdr>
        <w:top w:val="none" w:sz="0" w:space="0" w:color="auto"/>
        <w:left w:val="none" w:sz="0" w:space="0" w:color="auto"/>
        <w:bottom w:val="none" w:sz="0" w:space="0" w:color="auto"/>
        <w:right w:val="none" w:sz="0" w:space="0" w:color="auto"/>
      </w:divBdr>
    </w:div>
    <w:div w:id="870997948">
      <w:bodyDiv w:val="1"/>
      <w:marLeft w:val="0"/>
      <w:marRight w:val="0"/>
      <w:marTop w:val="0"/>
      <w:marBottom w:val="0"/>
      <w:divBdr>
        <w:top w:val="none" w:sz="0" w:space="0" w:color="auto"/>
        <w:left w:val="none" w:sz="0" w:space="0" w:color="auto"/>
        <w:bottom w:val="none" w:sz="0" w:space="0" w:color="auto"/>
        <w:right w:val="none" w:sz="0" w:space="0" w:color="auto"/>
      </w:divBdr>
    </w:div>
    <w:div w:id="1203593863">
      <w:bodyDiv w:val="1"/>
      <w:marLeft w:val="0"/>
      <w:marRight w:val="0"/>
      <w:marTop w:val="0"/>
      <w:marBottom w:val="0"/>
      <w:divBdr>
        <w:top w:val="none" w:sz="0" w:space="0" w:color="auto"/>
        <w:left w:val="none" w:sz="0" w:space="0" w:color="auto"/>
        <w:bottom w:val="none" w:sz="0" w:space="0" w:color="auto"/>
        <w:right w:val="none" w:sz="0" w:space="0" w:color="auto"/>
      </w:divBdr>
    </w:div>
    <w:div w:id="1666274490">
      <w:bodyDiv w:val="1"/>
      <w:marLeft w:val="0"/>
      <w:marRight w:val="0"/>
      <w:marTop w:val="0"/>
      <w:marBottom w:val="0"/>
      <w:divBdr>
        <w:top w:val="none" w:sz="0" w:space="0" w:color="auto"/>
        <w:left w:val="none" w:sz="0" w:space="0" w:color="auto"/>
        <w:bottom w:val="none" w:sz="0" w:space="0" w:color="auto"/>
        <w:right w:val="none" w:sz="0" w:space="0" w:color="auto"/>
      </w:divBdr>
    </w:div>
    <w:div w:id="183864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diagramColors" Target="diagrams/colors1.xml"/><Relationship Id="rId26" Type="http://schemas.openxmlformats.org/officeDocument/2006/relationships/image" Target="media/image7.png"/><Relationship Id="rId39" Type="http://schemas.openxmlformats.org/officeDocument/2006/relationships/footer" Target="footer2.xml"/><Relationship Id="rId21" Type="http://schemas.openxmlformats.org/officeDocument/2006/relationships/diagramLayout" Target="diagrams/layout2.xml"/><Relationship Id="rId34" Type="http://schemas.openxmlformats.org/officeDocument/2006/relationships/image" Target="media/image12.png"/><Relationship Id="rId42" Type="http://schemas.openxmlformats.org/officeDocument/2006/relationships/footer" Target="footer3.xml"/><Relationship Id="rId47" Type="http://schemas.openxmlformats.org/officeDocument/2006/relationships/image" Target="media/image21.png"/><Relationship Id="rId50" Type="http://schemas.openxmlformats.org/officeDocument/2006/relationships/hyperlink" Target="http://www.copladebc.gob.mx/PED/documentos/Actualizacion%20del%20Plan%20Estatal%20de%20Desarrollo%202014-2019.pdf" TargetMode="External"/><Relationship Id="rId55" Type="http://schemas.openxmlformats.org/officeDocument/2006/relationships/hyperlink" Target="http://www.copladebc.gob.mx/publicaciones/2017/Mensual/Playas%20de%20Rosarito.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8.png"/><Relationship Id="rId41" Type="http://schemas.openxmlformats.org/officeDocument/2006/relationships/image" Target="media/image16.jpeg"/><Relationship Id="rId54" Type="http://schemas.openxmlformats.org/officeDocument/2006/relationships/hyperlink" Target="http://www.copladebc.gob.mx/publicaciones/2017/Mensual/Tijuana%202017.pdf" TargetMode="External"/><Relationship Id="rId62" Type="http://schemas.openxmlformats.org/officeDocument/2006/relationships/hyperlink" Target="http://transparenciapresupuestaria.gob.mx/es/PTP/Datos_Abiert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diagramDrawing" Target="diagrams/drawing2.xml"/><Relationship Id="rId32" Type="http://schemas.openxmlformats.org/officeDocument/2006/relationships/image" Target="media/image10.jpeg"/><Relationship Id="rId37" Type="http://schemas.openxmlformats.org/officeDocument/2006/relationships/header" Target="header1.xml"/><Relationship Id="rId40" Type="http://schemas.openxmlformats.org/officeDocument/2006/relationships/image" Target="media/image15.png"/><Relationship Id="rId45" Type="http://schemas.openxmlformats.org/officeDocument/2006/relationships/image" Target="media/image19.jpeg"/><Relationship Id="rId53" Type="http://schemas.openxmlformats.org/officeDocument/2006/relationships/hyperlink" Target="http://www.copladebc.gob.mx/publicaciones/2017/Mensual/Tecate%202017.pdf" TargetMode="External"/><Relationship Id="rId58" Type="http://schemas.openxmlformats.org/officeDocument/2006/relationships/hyperlink" Target="http://indicadores.bajacalifornia.gob.mx/menuResultado_evaluaciones.jsp"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chart" Target="charts/chart1.xml"/><Relationship Id="rId36" Type="http://schemas.openxmlformats.org/officeDocument/2006/relationships/chart" Target="charts/chart3.xml"/><Relationship Id="rId49" Type="http://schemas.openxmlformats.org/officeDocument/2006/relationships/image" Target="media/image22.jpeg"/><Relationship Id="rId57" Type="http://schemas.openxmlformats.org/officeDocument/2006/relationships/hyperlink" Target="http://www.copladebc.gob.mx/PED/documentos/Actualizacion%20del%20Plan%20Estatal%20de%20Desarrollo%202014-2019.pdf" TargetMode="External"/><Relationship Id="rId61" Type="http://schemas.openxmlformats.org/officeDocument/2006/relationships/hyperlink" Target="http://transparenciapresupuestaria.gob.mx/es/PTP/Datos_Abiertos" TargetMode="Externa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chart" Target="charts/chart2.xml"/><Relationship Id="rId44" Type="http://schemas.openxmlformats.org/officeDocument/2006/relationships/image" Target="media/image18.png"/><Relationship Id="rId52" Type="http://schemas.openxmlformats.org/officeDocument/2006/relationships/hyperlink" Target="http://www.copladebc.gob.mx/publicaciones/2017/Mensual/Mexicali%202017.pdf" TargetMode="External"/><Relationship Id="rId60" Type="http://schemas.openxmlformats.org/officeDocument/2006/relationships/hyperlink" Target="http://indicadores.bajacalifornia.gob.mx/consultaciudadana/download/Presupuesto%20de%20egresos%20Version%20Ciudadana%202017.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diagramQuickStyle" Target="diagrams/quickStyle2.xml"/><Relationship Id="rId27" Type="http://schemas.microsoft.com/office/2007/relationships/hdphoto" Target="media/hdphoto3.wdp"/><Relationship Id="rId30" Type="http://schemas.openxmlformats.org/officeDocument/2006/relationships/image" Target="media/image9.png"/><Relationship Id="rId35" Type="http://schemas.microsoft.com/office/2007/relationships/hdphoto" Target="media/hdphoto4.wdp"/><Relationship Id="rId43" Type="http://schemas.openxmlformats.org/officeDocument/2006/relationships/image" Target="media/image17.jpeg"/><Relationship Id="rId48" Type="http://schemas.microsoft.com/office/2007/relationships/hdphoto" Target="media/hdphoto5.wdp"/><Relationship Id="rId56" Type="http://schemas.openxmlformats.org/officeDocument/2006/relationships/hyperlink" Target="http://www.pef.hacienda.gob.mx/es/PEF2017/tomoIII"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copladebc.gob.mx/publicaciones/2017/Mensual/Ensenada%202017.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footer" Target="footer1.xml"/><Relationship Id="rId46" Type="http://schemas.openxmlformats.org/officeDocument/2006/relationships/image" Target="media/image20.jpeg"/><Relationship Id="rId59" Type="http://schemas.openxmlformats.org/officeDocument/2006/relationships/hyperlink" Target="http://www.dof.gob.mx/nota_detalle.php?codigo=5466319&amp;fecha=21/12/201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4.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G:\KINGSTON\25%20PARTICIPACIONES%20(PFEF)\PARTICIPACIONES%20BC%202017%20AC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[Gráfico en Microsoft Word]Hoja1!Tabla dinámica1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col"/>
        <c:grouping val="clustered"/>
        <c:varyColors val="0"/>
        <c:ser>
          <c:idx val="0"/>
          <c:order val="0"/>
          <c:tx>
            <c:strRef>
              <c:f>Hoja1!$B$1</c:f>
              <c:strCache>
                <c:ptCount val="1"/>
                <c:pt idx="0">
                  <c:v>Suma de PROGRAMADO</c:v>
                </c:pt>
              </c:strCache>
            </c:strRef>
          </c:tx>
          <c:spPr>
            <a:solidFill>
              <a:schemeClr val="accent1"/>
            </a:solidFill>
            <a:ln>
              <a:noFill/>
            </a:ln>
            <a:effectLst/>
          </c:spPr>
          <c:invertIfNegative val="0"/>
          <c:dLbls>
            <c:dLbl>
              <c:idx val="0"/>
              <c:layout>
                <c:manualLayout>
                  <c:x val="-4.5428733674048836E-3"/>
                  <c:y val="-3.9381153305203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7FD-4BB2-A923-AC78F1EE97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4"/>
                <c:pt idx="0">
                  <c:v>I</c:v>
                </c:pt>
                <c:pt idx="1">
                  <c:v>II</c:v>
                </c:pt>
                <c:pt idx="2">
                  <c:v>III</c:v>
                </c:pt>
                <c:pt idx="3">
                  <c:v>IV</c:v>
                </c:pt>
              </c:strCache>
            </c:strRef>
          </c:cat>
          <c:val>
            <c:numRef>
              <c:f>Hoja1!$B$2:$B$6</c:f>
              <c:numCache>
                <c:formatCode>#,##0.00</c:formatCode>
                <c:ptCount val="4"/>
                <c:pt idx="0">
                  <c:v>9332.9699999999993</c:v>
                </c:pt>
                <c:pt idx="1">
                  <c:v>9529.9500000000007</c:v>
                </c:pt>
                <c:pt idx="2">
                  <c:v>9140.08</c:v>
                </c:pt>
                <c:pt idx="3">
                  <c:v>12115.91</c:v>
                </c:pt>
              </c:numCache>
            </c:numRef>
          </c:val>
          <c:extLst xmlns:c16r2="http://schemas.microsoft.com/office/drawing/2015/06/chart">
            <c:ext xmlns:c16="http://schemas.microsoft.com/office/drawing/2014/chart" uri="{C3380CC4-5D6E-409C-BE32-E72D297353CC}">
              <c16:uniqueId val="{00000001-97FD-4BB2-A923-AC78F1EE9776}"/>
            </c:ext>
          </c:extLst>
        </c:ser>
        <c:ser>
          <c:idx val="1"/>
          <c:order val="1"/>
          <c:tx>
            <c:strRef>
              <c:f>Hoja1!$C$1</c:f>
              <c:strCache>
                <c:ptCount val="1"/>
                <c:pt idx="0">
                  <c:v>Suma de REALIZADO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4"/>
                <c:pt idx="0">
                  <c:v>I</c:v>
                </c:pt>
                <c:pt idx="1">
                  <c:v>II</c:v>
                </c:pt>
                <c:pt idx="2">
                  <c:v>III</c:v>
                </c:pt>
                <c:pt idx="3">
                  <c:v>IV</c:v>
                </c:pt>
              </c:strCache>
            </c:strRef>
          </c:cat>
          <c:val>
            <c:numRef>
              <c:f>Hoja1!$C$2:$C$6</c:f>
              <c:numCache>
                <c:formatCode>#,##0.00</c:formatCode>
                <c:ptCount val="4"/>
                <c:pt idx="0">
                  <c:v>9020.32</c:v>
                </c:pt>
                <c:pt idx="1">
                  <c:v>13200.64</c:v>
                </c:pt>
                <c:pt idx="2">
                  <c:v>10472.280000000001</c:v>
                </c:pt>
                <c:pt idx="3">
                  <c:v>11370.79</c:v>
                </c:pt>
              </c:numCache>
            </c:numRef>
          </c:val>
          <c:extLst xmlns:c16r2="http://schemas.microsoft.com/office/drawing/2015/06/chart">
            <c:ext xmlns:c16="http://schemas.microsoft.com/office/drawing/2014/chart" uri="{C3380CC4-5D6E-409C-BE32-E72D297353CC}">
              <c16:uniqueId val="{00000002-97FD-4BB2-A923-AC78F1EE9776}"/>
            </c:ext>
          </c:extLst>
        </c:ser>
        <c:dLbls>
          <c:showLegendKey val="0"/>
          <c:showVal val="0"/>
          <c:showCatName val="0"/>
          <c:showSerName val="0"/>
          <c:showPercent val="0"/>
          <c:showBubbleSize val="0"/>
        </c:dLbls>
        <c:gapWidth val="219"/>
        <c:overlap val="-27"/>
        <c:axId val="669638640"/>
        <c:axId val="669639032"/>
      </c:barChart>
      <c:catAx>
        <c:axId val="6696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639032"/>
        <c:crosses val="autoZero"/>
        <c:auto val="1"/>
        <c:lblAlgn val="ctr"/>
        <c:lblOffset val="100"/>
        <c:noMultiLvlLbl val="0"/>
      </c:catAx>
      <c:valAx>
        <c:axId val="669639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638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'HISTORICO 2010-2017'!$E$1</c:f>
              <c:strCache>
                <c:ptCount val="1"/>
                <c:pt idx="0">
                  <c:v>Baja California
Millones de Pesos</c:v>
                </c:pt>
              </c:strCache>
            </c:strRef>
          </c:tx>
          <c:spPr>
            <a:ln w="38100" cap="rnd" cmpd="sng">
              <a:solidFill>
                <a:schemeClr val="accent2">
                  <a:lumMod val="50000"/>
                </a:schemeClr>
              </a:solidFill>
              <a:round/>
            </a:ln>
            <a:effectLst/>
          </c:spPr>
          <c:marker>
            <c:symbol val="circle"/>
            <c:size val="5"/>
            <c:spPr>
              <a:solidFill>
                <a:schemeClr val="accent1"/>
              </a:solidFill>
              <a:ln w="9525">
                <a:solidFill>
                  <a:schemeClr val="accent1"/>
                </a:solidFill>
              </a:ln>
              <a:effectLst/>
            </c:spPr>
          </c:marker>
          <c:xVal>
            <c:numRef>
              <c:f>'HISTORICO 2010-2017'!$A$2:$A$9</c:f>
              <c:numCache>
                <c:formatCode>General</c:formatCode>
                <c:ptCount val="8"/>
                <c:pt idx="0">
                  <c:v>2010</c:v>
                </c:pt>
                <c:pt idx="1">
                  <c:v>2011</c:v>
                </c:pt>
                <c:pt idx="2">
                  <c:v>2012</c:v>
                </c:pt>
                <c:pt idx="3">
                  <c:v>2013</c:v>
                </c:pt>
                <c:pt idx="4">
                  <c:v>2014</c:v>
                </c:pt>
                <c:pt idx="5">
                  <c:v>2015</c:v>
                </c:pt>
                <c:pt idx="6">
                  <c:v>2016</c:v>
                </c:pt>
                <c:pt idx="7">
                  <c:v>2017</c:v>
                </c:pt>
              </c:numCache>
            </c:numRef>
          </c:xVal>
          <c:yVal>
            <c:numRef>
              <c:f>'HISTORICO 2010-2017'!$E$2:$E$9</c:f>
              <c:numCache>
                <c:formatCode>#,##0.00</c:formatCode>
                <c:ptCount val="8"/>
                <c:pt idx="0">
                  <c:v>12751.2</c:v>
                </c:pt>
                <c:pt idx="1">
                  <c:v>14276.7</c:v>
                </c:pt>
                <c:pt idx="2">
                  <c:v>13728</c:v>
                </c:pt>
                <c:pt idx="3">
                  <c:v>15357</c:v>
                </c:pt>
                <c:pt idx="4">
                  <c:v>16407.2</c:v>
                </c:pt>
                <c:pt idx="5">
                  <c:v>17095.099999999999</c:v>
                </c:pt>
                <c:pt idx="6">
                  <c:v>18664</c:v>
                </c:pt>
                <c:pt idx="7">
                  <c:v>21061.5</c:v>
                </c:pt>
              </c:numCache>
            </c:numRef>
          </c:yVal>
          <c:smooth val="0"/>
          <c:extLst xmlns:c16r2="http://schemas.microsoft.com/office/drawing/2015/06/chart">
            <c:ext xmlns:c16="http://schemas.microsoft.com/office/drawing/2014/chart" uri="{C3380CC4-5D6E-409C-BE32-E72D297353CC}">
              <c16:uniqueId val="{00000000-7E6B-4B9F-BAFB-246DF1E90E9A}"/>
            </c:ext>
          </c:extLst>
        </c:ser>
        <c:dLbls>
          <c:showLegendKey val="0"/>
          <c:showVal val="0"/>
          <c:showCatName val="0"/>
          <c:showSerName val="0"/>
          <c:showPercent val="0"/>
          <c:showBubbleSize val="0"/>
        </c:dLbls>
        <c:axId val="669689840"/>
        <c:axId val="670591496"/>
      </c:scatterChart>
      <c:valAx>
        <c:axId val="66968984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670591496"/>
        <c:crosses val="autoZero"/>
        <c:crossBetween val="midCat"/>
      </c:valAx>
      <c:valAx>
        <c:axId val="670591496"/>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669689840"/>
        <c:crosses val="autoZero"/>
        <c:crossBetween val="midCat"/>
      </c:valAx>
      <c:spPr>
        <a:noFill/>
        <a:ln>
          <a:solidFill>
            <a:schemeClr val="tx1">
              <a:lumMod val="15000"/>
              <a:lumOff val="85000"/>
            </a:schemeClr>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'PARTICIPACIONES POR MUNICIPIO'!$C$2</c:f>
              <c:strCache>
                <c:ptCount val="1"/>
                <c:pt idx="0">
                  <c:v>%</c:v>
                </c:pt>
              </c:strCache>
            </c:strRef>
          </c:tx>
          <c:dPt>
            <c:idx val="0"/>
            <c:bubble3D val="0"/>
            <c:spPr>
              <a:solidFill>
                <a:schemeClr val="accent2">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43D-4F31-9E52-BF56A2E56C1D}"/>
              </c:ext>
            </c:extLst>
          </c:dPt>
          <c:dPt>
            <c:idx val="1"/>
            <c:bubble3D val="0"/>
            <c:spPr>
              <a:solidFill>
                <a:schemeClr val="accent2">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43D-4F31-9E52-BF56A2E56C1D}"/>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743D-4F31-9E52-BF56A2E56C1D}"/>
              </c:ext>
            </c:extLst>
          </c:dPt>
          <c:dPt>
            <c:idx val="3"/>
            <c:bubble3D val="0"/>
            <c:spPr>
              <a:solidFill>
                <a:schemeClr val="accent2">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43D-4F31-9E52-BF56A2E56C1D}"/>
              </c:ext>
            </c:extLst>
          </c:dPt>
          <c:dPt>
            <c:idx val="4"/>
            <c:bubble3D val="0"/>
            <c:spPr>
              <a:solidFill>
                <a:schemeClr val="accent2">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43D-4F31-9E52-BF56A2E56C1D}"/>
              </c:ext>
            </c:extLst>
          </c:dPt>
          <c:dLbls>
            <c:dLbl>
              <c:idx val="0"/>
              <c:layout>
                <c:manualLayout>
                  <c:x val="2.6892993797462066E-2"/>
                  <c:y val="0.1729535935667615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43D-4F31-9E52-BF56A2E56C1D}"/>
                </c:ext>
                <c:ext xmlns:c15="http://schemas.microsoft.com/office/drawing/2012/chart" uri="{CE6537A1-D6FC-4f65-9D91-7224C49458BB}"/>
              </c:extLst>
            </c:dLbl>
            <c:dLbl>
              <c:idx val="1"/>
              <c:layout>
                <c:manualLayout>
                  <c:x val="-9.5555947072880953E-2"/>
                  <c:y val="-0.141654846335697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43D-4F31-9E52-BF56A2E56C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'PARTICIPACIONES POR MUNICIPIO'!$A$3:$A$7</c:f>
              <c:strCache>
                <c:ptCount val="5"/>
                <c:pt idx="0">
                  <c:v>Mexicali</c:v>
                </c:pt>
                <c:pt idx="1">
                  <c:v>Tijuana</c:v>
                </c:pt>
                <c:pt idx="2">
                  <c:v>Ensenada</c:v>
                </c:pt>
                <c:pt idx="3">
                  <c:v>Tecate</c:v>
                </c:pt>
                <c:pt idx="4">
                  <c:v>Playas de Rosarito</c:v>
                </c:pt>
              </c:strCache>
            </c:strRef>
          </c:cat>
          <c:val>
            <c:numRef>
              <c:f>'PARTICIPACIONES POR MUNICIPIO'!$C$3:$C$7</c:f>
              <c:numCache>
                <c:formatCode>0.00%</c:formatCode>
                <c:ptCount val="5"/>
                <c:pt idx="0">
                  <c:v>0.2999</c:v>
                </c:pt>
                <c:pt idx="1">
                  <c:v>0.51249999999999996</c:v>
                </c:pt>
                <c:pt idx="2">
                  <c:v>0.10639999999999999</c:v>
                </c:pt>
                <c:pt idx="3">
                  <c:v>3.85E-2</c:v>
                </c:pt>
                <c:pt idx="4">
                  <c:v>4.24E-2</c:v>
                </c:pt>
              </c:numCache>
            </c:numRef>
          </c:val>
          <c:extLst xmlns:c16r2="http://schemas.microsoft.com/office/drawing/2015/06/chart">
            <c:ext xmlns:c16="http://schemas.microsoft.com/office/drawing/2014/chart" uri="{C3380CC4-5D6E-409C-BE32-E72D297353CC}">
              <c16:uniqueId val="{0000000A-743D-4F31-9E52-BF56A2E56C1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3E3DF2-3880-4ADC-8DE7-B91EFE896149}" type="doc">
      <dgm:prSet loTypeId="urn:microsoft.com/office/officeart/2005/8/layout/radial3" loCatId="cycle" qsTypeId="urn:microsoft.com/office/officeart/2005/8/quickstyle/3d4" qsCatId="3D" csTypeId="urn:microsoft.com/office/officeart/2005/8/colors/accent2_2" csCatId="accent2" phldr="1"/>
      <dgm:spPr/>
      <dgm:t>
        <a:bodyPr/>
        <a:lstStyle/>
        <a:p>
          <a:endParaRPr lang="es-MX"/>
        </a:p>
      </dgm:t>
    </dgm:pt>
    <dgm:pt modelId="{7C92E320-E09C-4CE5-860A-C7F6FF392591}">
      <dgm:prSet phldrT="[Texto]"/>
      <dgm:spPr/>
      <dgm:t>
        <a:bodyPr/>
        <a:lstStyle/>
        <a:p>
          <a:r>
            <a:rPr lang="es-MX"/>
            <a:t>Baja California 3´315,766</a:t>
          </a:r>
        </a:p>
      </dgm:t>
    </dgm:pt>
    <dgm:pt modelId="{BF594187-9B26-4647-BEFE-492640BCB6A0}" type="parTrans" cxnId="{B27CE76A-B8FE-49C2-8E65-013C6D1A231D}">
      <dgm:prSet/>
      <dgm:spPr/>
      <dgm:t>
        <a:bodyPr/>
        <a:lstStyle/>
        <a:p>
          <a:endParaRPr lang="es-MX"/>
        </a:p>
      </dgm:t>
    </dgm:pt>
    <dgm:pt modelId="{1F83AED7-1648-4157-AD5F-9211356912DE}" type="sibTrans" cxnId="{B27CE76A-B8FE-49C2-8E65-013C6D1A231D}">
      <dgm:prSet/>
      <dgm:spPr/>
      <dgm:t>
        <a:bodyPr/>
        <a:lstStyle/>
        <a:p>
          <a:endParaRPr lang="es-MX"/>
        </a:p>
      </dgm:t>
    </dgm:pt>
    <dgm:pt modelId="{3513F030-CB60-4DBE-88F1-C74013004967}">
      <dgm:prSet phldrT="[Texto]"/>
      <dgm:spPr/>
      <dgm:t>
        <a:bodyPr/>
        <a:lstStyle/>
        <a:p>
          <a:r>
            <a:rPr lang="es-MX"/>
            <a:t>Ensenada 535,361</a:t>
          </a:r>
        </a:p>
      </dgm:t>
    </dgm:pt>
    <dgm:pt modelId="{DFAE8091-B876-4EBF-B211-81969CB74569}" type="parTrans" cxnId="{3401CCF5-7D16-4A2C-B10E-9DB31703C212}">
      <dgm:prSet/>
      <dgm:spPr/>
      <dgm:t>
        <a:bodyPr/>
        <a:lstStyle/>
        <a:p>
          <a:endParaRPr lang="es-MX"/>
        </a:p>
      </dgm:t>
    </dgm:pt>
    <dgm:pt modelId="{10C0164A-9B69-443F-BCF9-636F120FED5A}" type="sibTrans" cxnId="{3401CCF5-7D16-4A2C-B10E-9DB31703C212}">
      <dgm:prSet/>
      <dgm:spPr/>
      <dgm:t>
        <a:bodyPr/>
        <a:lstStyle/>
        <a:p>
          <a:endParaRPr lang="es-MX"/>
        </a:p>
      </dgm:t>
    </dgm:pt>
    <dgm:pt modelId="{FD5183B8-7A84-4A73-AB87-6288EC128157}">
      <dgm:prSet phldrT="[Texto]"/>
      <dgm:spPr/>
      <dgm:t>
        <a:bodyPr/>
        <a:lstStyle/>
        <a:p>
          <a:r>
            <a:rPr lang="es-MX"/>
            <a:t>Mexicali 1´052,656</a:t>
          </a:r>
        </a:p>
      </dgm:t>
    </dgm:pt>
    <dgm:pt modelId="{64339675-E02E-49ED-80B4-AE7660AB1C9C}" type="parTrans" cxnId="{B48B147E-E88F-4077-AE4D-D3477BDCE7EE}">
      <dgm:prSet/>
      <dgm:spPr/>
      <dgm:t>
        <a:bodyPr/>
        <a:lstStyle/>
        <a:p>
          <a:endParaRPr lang="es-MX"/>
        </a:p>
      </dgm:t>
    </dgm:pt>
    <dgm:pt modelId="{4AFFDA7F-19A4-43F8-8337-67096EBC891A}" type="sibTrans" cxnId="{B48B147E-E88F-4077-AE4D-D3477BDCE7EE}">
      <dgm:prSet/>
      <dgm:spPr/>
      <dgm:t>
        <a:bodyPr/>
        <a:lstStyle/>
        <a:p>
          <a:endParaRPr lang="es-MX"/>
        </a:p>
      </dgm:t>
    </dgm:pt>
    <dgm:pt modelId="{D1C71141-8560-491C-B172-0F077CB3C593}">
      <dgm:prSet phldrT="[Texto]"/>
      <dgm:spPr/>
      <dgm:t>
        <a:bodyPr/>
        <a:lstStyle/>
        <a:p>
          <a:r>
            <a:rPr lang="es-MX"/>
            <a:t>Tijuana 1´773,556</a:t>
          </a:r>
        </a:p>
      </dgm:t>
    </dgm:pt>
    <dgm:pt modelId="{739A6264-C6E3-47EB-BE69-2CD3DEB41394}" type="parTrans" cxnId="{C7CF9EA9-7078-4613-AD08-2D4F78423BE1}">
      <dgm:prSet/>
      <dgm:spPr/>
      <dgm:t>
        <a:bodyPr/>
        <a:lstStyle/>
        <a:p>
          <a:endParaRPr lang="es-MX"/>
        </a:p>
      </dgm:t>
    </dgm:pt>
    <dgm:pt modelId="{6BBD121E-C51A-494D-9FA6-32C1CB50D7E0}" type="sibTrans" cxnId="{C7CF9EA9-7078-4613-AD08-2D4F78423BE1}">
      <dgm:prSet/>
      <dgm:spPr/>
      <dgm:t>
        <a:bodyPr/>
        <a:lstStyle/>
        <a:p>
          <a:endParaRPr lang="es-MX"/>
        </a:p>
      </dgm:t>
    </dgm:pt>
    <dgm:pt modelId="{D458D37C-6E4B-4D34-9F95-ABF51F2B406A}">
      <dgm:prSet phldrT="[Texto]"/>
      <dgm:spPr/>
      <dgm:t>
        <a:bodyPr/>
        <a:lstStyle/>
        <a:p>
          <a:r>
            <a:rPr lang="es-MX"/>
            <a:t>Tecate 114,095</a:t>
          </a:r>
        </a:p>
      </dgm:t>
    </dgm:pt>
    <dgm:pt modelId="{9C6DA62B-9CF4-42F5-967C-B7BD735CC6C5}" type="parTrans" cxnId="{1387651C-2036-4204-8AE8-D639AF431AEA}">
      <dgm:prSet/>
      <dgm:spPr/>
      <dgm:t>
        <a:bodyPr/>
        <a:lstStyle/>
        <a:p>
          <a:endParaRPr lang="es-MX"/>
        </a:p>
      </dgm:t>
    </dgm:pt>
    <dgm:pt modelId="{EED0BF8B-5AA6-440F-89ED-0D00F00EEEA3}" type="sibTrans" cxnId="{1387651C-2036-4204-8AE8-D639AF431AEA}">
      <dgm:prSet/>
      <dgm:spPr/>
      <dgm:t>
        <a:bodyPr/>
        <a:lstStyle/>
        <a:p>
          <a:endParaRPr lang="es-MX"/>
        </a:p>
      </dgm:t>
    </dgm:pt>
    <dgm:pt modelId="{FE25B559-B9C5-43A9-8D99-971EEBA68AE0}">
      <dgm:prSet phldrT="[Texto]"/>
      <dgm:spPr/>
      <dgm:t>
        <a:bodyPr/>
        <a:lstStyle/>
        <a:p>
          <a:r>
            <a:rPr lang="es-MX"/>
            <a:t>Playas de Rosarito 108,935</a:t>
          </a:r>
        </a:p>
      </dgm:t>
    </dgm:pt>
    <dgm:pt modelId="{5523CB2B-702C-40B3-8AF0-C1845301CEAE}" type="parTrans" cxnId="{81D88CE9-9521-49AD-8517-8100E603DE34}">
      <dgm:prSet/>
      <dgm:spPr/>
      <dgm:t>
        <a:bodyPr/>
        <a:lstStyle/>
        <a:p>
          <a:endParaRPr lang="es-MX"/>
        </a:p>
      </dgm:t>
    </dgm:pt>
    <dgm:pt modelId="{F149AD01-9913-41F1-ADCA-61C30EF324D9}" type="sibTrans" cxnId="{81D88CE9-9521-49AD-8517-8100E603DE34}">
      <dgm:prSet/>
      <dgm:spPr/>
      <dgm:t>
        <a:bodyPr/>
        <a:lstStyle/>
        <a:p>
          <a:endParaRPr lang="es-MX"/>
        </a:p>
      </dgm:t>
    </dgm:pt>
    <dgm:pt modelId="{76017661-910D-4351-A9FB-6CFB3EE8C319}" type="pres">
      <dgm:prSet presAssocID="{303E3DF2-3880-4ADC-8DE7-B91EFE896149}" presName="composite" presStyleCnt="0">
        <dgm:presLayoutVars>
          <dgm:chMax val="1"/>
          <dgm:dir/>
          <dgm:resizeHandles val="exact"/>
        </dgm:presLayoutVars>
      </dgm:prSet>
      <dgm:spPr/>
      <dgm:t>
        <a:bodyPr/>
        <a:lstStyle/>
        <a:p>
          <a:endParaRPr lang="en-US"/>
        </a:p>
      </dgm:t>
    </dgm:pt>
    <dgm:pt modelId="{2DC5311B-E063-40C7-9468-0B6453D2EB49}" type="pres">
      <dgm:prSet presAssocID="{303E3DF2-3880-4ADC-8DE7-B91EFE896149}" presName="radial" presStyleCnt="0">
        <dgm:presLayoutVars>
          <dgm:animLvl val="ctr"/>
        </dgm:presLayoutVars>
      </dgm:prSet>
      <dgm:spPr/>
    </dgm:pt>
    <dgm:pt modelId="{F894E27E-5433-49C8-A46A-D43B2E4F5F55}" type="pres">
      <dgm:prSet presAssocID="{7C92E320-E09C-4CE5-860A-C7F6FF392591}" presName="centerShape" presStyleLbl="vennNode1" presStyleIdx="0" presStyleCnt="6" custScaleX="92101" custScaleY="97392"/>
      <dgm:spPr/>
      <dgm:t>
        <a:bodyPr/>
        <a:lstStyle/>
        <a:p>
          <a:endParaRPr lang="en-US"/>
        </a:p>
      </dgm:t>
    </dgm:pt>
    <dgm:pt modelId="{DE8D1C5E-1349-4936-8F5E-B84E27328625}" type="pres">
      <dgm:prSet presAssocID="{3513F030-CB60-4DBE-88F1-C74013004967}" presName="node" presStyleLbl="vennNode1" presStyleIdx="1" presStyleCnt="6" custScaleX="146949" custScaleY="118734" custRadScaleRad="96818">
        <dgm:presLayoutVars>
          <dgm:bulletEnabled val="1"/>
        </dgm:presLayoutVars>
      </dgm:prSet>
      <dgm:spPr/>
      <dgm:t>
        <a:bodyPr/>
        <a:lstStyle/>
        <a:p>
          <a:endParaRPr lang="en-US"/>
        </a:p>
      </dgm:t>
    </dgm:pt>
    <dgm:pt modelId="{1A4EF07C-E727-422D-8D5B-144B571CB902}" type="pres">
      <dgm:prSet presAssocID="{FD5183B8-7A84-4A73-AB87-6288EC128157}" presName="node" presStyleLbl="vennNode1" presStyleIdx="2" presStyleCnt="6" custScaleX="145762" custScaleY="130709" custRadScaleRad="112937" custRadScaleInc="2945">
        <dgm:presLayoutVars>
          <dgm:bulletEnabled val="1"/>
        </dgm:presLayoutVars>
      </dgm:prSet>
      <dgm:spPr/>
      <dgm:t>
        <a:bodyPr/>
        <a:lstStyle/>
        <a:p>
          <a:endParaRPr lang="en-US"/>
        </a:p>
      </dgm:t>
    </dgm:pt>
    <dgm:pt modelId="{D4EBBE3E-AE78-4CD2-B842-3602EFB5D989}" type="pres">
      <dgm:prSet presAssocID="{D1C71141-8560-491C-B172-0F077CB3C593}" presName="node" presStyleLbl="vennNode1" presStyleIdx="3" presStyleCnt="6" custScaleX="145762" custScaleY="130709" custRadScaleRad="112371" custRadScaleInc="-15754">
        <dgm:presLayoutVars>
          <dgm:bulletEnabled val="1"/>
        </dgm:presLayoutVars>
      </dgm:prSet>
      <dgm:spPr/>
      <dgm:t>
        <a:bodyPr/>
        <a:lstStyle/>
        <a:p>
          <a:endParaRPr lang="en-US"/>
        </a:p>
      </dgm:t>
    </dgm:pt>
    <dgm:pt modelId="{409E176D-26A3-4788-916E-480DEE98B831}" type="pres">
      <dgm:prSet presAssocID="{D458D37C-6E4B-4D34-9F95-ABF51F2B406A}" presName="node" presStyleLbl="vennNode1" presStyleIdx="4" presStyleCnt="6" custScaleX="145762" custScaleY="130709" custRadScaleRad="112953" custRadScaleInc="17818">
        <dgm:presLayoutVars>
          <dgm:bulletEnabled val="1"/>
        </dgm:presLayoutVars>
      </dgm:prSet>
      <dgm:spPr/>
      <dgm:t>
        <a:bodyPr/>
        <a:lstStyle/>
        <a:p>
          <a:endParaRPr lang="en-US"/>
        </a:p>
      </dgm:t>
    </dgm:pt>
    <dgm:pt modelId="{EE6885D6-4BBA-4854-AFED-772FD866493E}" type="pres">
      <dgm:prSet presAssocID="{FE25B559-B9C5-43A9-8D99-971EEBA68AE0}" presName="node" presStyleLbl="vennNode1" presStyleIdx="5" presStyleCnt="6" custScaleX="145762" custScaleY="130709" custRadScaleRad="112172" custRadScaleInc="-2791">
        <dgm:presLayoutVars>
          <dgm:bulletEnabled val="1"/>
        </dgm:presLayoutVars>
      </dgm:prSet>
      <dgm:spPr/>
      <dgm:t>
        <a:bodyPr/>
        <a:lstStyle/>
        <a:p>
          <a:endParaRPr lang="en-US"/>
        </a:p>
      </dgm:t>
    </dgm:pt>
  </dgm:ptLst>
  <dgm:cxnLst>
    <dgm:cxn modelId="{3401CCF5-7D16-4A2C-B10E-9DB31703C212}" srcId="{7C92E320-E09C-4CE5-860A-C7F6FF392591}" destId="{3513F030-CB60-4DBE-88F1-C74013004967}" srcOrd="0" destOrd="0" parTransId="{DFAE8091-B876-4EBF-B211-81969CB74569}" sibTransId="{10C0164A-9B69-443F-BCF9-636F120FED5A}"/>
    <dgm:cxn modelId="{1387651C-2036-4204-8AE8-D639AF431AEA}" srcId="{7C92E320-E09C-4CE5-860A-C7F6FF392591}" destId="{D458D37C-6E4B-4D34-9F95-ABF51F2B406A}" srcOrd="3" destOrd="0" parTransId="{9C6DA62B-9CF4-42F5-967C-B7BD735CC6C5}" sibTransId="{EED0BF8B-5AA6-440F-89ED-0D00F00EEEA3}"/>
    <dgm:cxn modelId="{81D88CE9-9521-49AD-8517-8100E603DE34}" srcId="{7C92E320-E09C-4CE5-860A-C7F6FF392591}" destId="{FE25B559-B9C5-43A9-8D99-971EEBA68AE0}" srcOrd="4" destOrd="0" parTransId="{5523CB2B-702C-40B3-8AF0-C1845301CEAE}" sibTransId="{F149AD01-9913-41F1-ADCA-61C30EF324D9}"/>
    <dgm:cxn modelId="{11CC8B82-B3F5-4AB8-946C-965FE914C0C9}" type="presOf" srcId="{303E3DF2-3880-4ADC-8DE7-B91EFE896149}" destId="{76017661-910D-4351-A9FB-6CFB3EE8C319}" srcOrd="0" destOrd="0" presId="urn:microsoft.com/office/officeart/2005/8/layout/radial3"/>
    <dgm:cxn modelId="{8798F6B9-B19D-4E43-A228-D7D13F042984}" type="presOf" srcId="{FE25B559-B9C5-43A9-8D99-971EEBA68AE0}" destId="{EE6885D6-4BBA-4854-AFED-772FD866493E}" srcOrd="0" destOrd="0" presId="urn:microsoft.com/office/officeart/2005/8/layout/radial3"/>
    <dgm:cxn modelId="{015E7FD3-0D6A-4B7A-85ED-8C5E77BE23DB}" type="presOf" srcId="{D1C71141-8560-491C-B172-0F077CB3C593}" destId="{D4EBBE3E-AE78-4CD2-B842-3602EFB5D989}" srcOrd="0" destOrd="0" presId="urn:microsoft.com/office/officeart/2005/8/layout/radial3"/>
    <dgm:cxn modelId="{C7CF9EA9-7078-4613-AD08-2D4F78423BE1}" srcId="{7C92E320-E09C-4CE5-860A-C7F6FF392591}" destId="{D1C71141-8560-491C-B172-0F077CB3C593}" srcOrd="2" destOrd="0" parTransId="{739A6264-C6E3-47EB-BE69-2CD3DEB41394}" sibTransId="{6BBD121E-C51A-494D-9FA6-32C1CB50D7E0}"/>
    <dgm:cxn modelId="{1A8D1FB2-1C2D-49D8-93C5-B761D962631D}" type="presOf" srcId="{7C92E320-E09C-4CE5-860A-C7F6FF392591}" destId="{F894E27E-5433-49C8-A46A-D43B2E4F5F55}" srcOrd="0" destOrd="0" presId="urn:microsoft.com/office/officeart/2005/8/layout/radial3"/>
    <dgm:cxn modelId="{57850635-532E-4DAF-88DE-F8F7A91B0A49}" type="presOf" srcId="{D458D37C-6E4B-4D34-9F95-ABF51F2B406A}" destId="{409E176D-26A3-4788-916E-480DEE98B831}" srcOrd="0" destOrd="0" presId="urn:microsoft.com/office/officeart/2005/8/layout/radial3"/>
    <dgm:cxn modelId="{B27CE76A-B8FE-49C2-8E65-013C6D1A231D}" srcId="{303E3DF2-3880-4ADC-8DE7-B91EFE896149}" destId="{7C92E320-E09C-4CE5-860A-C7F6FF392591}" srcOrd="0" destOrd="0" parTransId="{BF594187-9B26-4647-BEFE-492640BCB6A0}" sibTransId="{1F83AED7-1648-4157-AD5F-9211356912DE}"/>
    <dgm:cxn modelId="{F0194DC6-A266-4379-90C1-E82634D41D60}" type="presOf" srcId="{FD5183B8-7A84-4A73-AB87-6288EC128157}" destId="{1A4EF07C-E727-422D-8D5B-144B571CB902}" srcOrd="0" destOrd="0" presId="urn:microsoft.com/office/officeart/2005/8/layout/radial3"/>
    <dgm:cxn modelId="{B48B147E-E88F-4077-AE4D-D3477BDCE7EE}" srcId="{7C92E320-E09C-4CE5-860A-C7F6FF392591}" destId="{FD5183B8-7A84-4A73-AB87-6288EC128157}" srcOrd="1" destOrd="0" parTransId="{64339675-E02E-49ED-80B4-AE7660AB1C9C}" sibTransId="{4AFFDA7F-19A4-43F8-8337-67096EBC891A}"/>
    <dgm:cxn modelId="{E0E276E6-8DC3-472A-885A-8092E374BA61}" type="presOf" srcId="{3513F030-CB60-4DBE-88F1-C74013004967}" destId="{DE8D1C5E-1349-4936-8F5E-B84E27328625}" srcOrd="0" destOrd="0" presId="urn:microsoft.com/office/officeart/2005/8/layout/radial3"/>
    <dgm:cxn modelId="{E0A142BA-1090-432F-9BCE-C969BFCA08BD}" type="presParOf" srcId="{76017661-910D-4351-A9FB-6CFB3EE8C319}" destId="{2DC5311B-E063-40C7-9468-0B6453D2EB49}" srcOrd="0" destOrd="0" presId="urn:microsoft.com/office/officeart/2005/8/layout/radial3"/>
    <dgm:cxn modelId="{8927A82B-652A-4749-93AE-93CEB2E9BC4F}" type="presParOf" srcId="{2DC5311B-E063-40C7-9468-0B6453D2EB49}" destId="{F894E27E-5433-49C8-A46A-D43B2E4F5F55}" srcOrd="0" destOrd="0" presId="urn:microsoft.com/office/officeart/2005/8/layout/radial3"/>
    <dgm:cxn modelId="{14F365EF-9233-408A-8498-F10350D994B1}" type="presParOf" srcId="{2DC5311B-E063-40C7-9468-0B6453D2EB49}" destId="{DE8D1C5E-1349-4936-8F5E-B84E27328625}" srcOrd="1" destOrd="0" presId="urn:microsoft.com/office/officeart/2005/8/layout/radial3"/>
    <dgm:cxn modelId="{989EDF05-21F7-47C5-A63A-733B7518946C}" type="presParOf" srcId="{2DC5311B-E063-40C7-9468-0B6453D2EB49}" destId="{1A4EF07C-E727-422D-8D5B-144B571CB902}" srcOrd="2" destOrd="0" presId="urn:microsoft.com/office/officeart/2005/8/layout/radial3"/>
    <dgm:cxn modelId="{4023CC4A-1378-44EE-A8FC-41D468DB0554}" type="presParOf" srcId="{2DC5311B-E063-40C7-9468-0B6453D2EB49}" destId="{D4EBBE3E-AE78-4CD2-B842-3602EFB5D989}" srcOrd="3" destOrd="0" presId="urn:microsoft.com/office/officeart/2005/8/layout/radial3"/>
    <dgm:cxn modelId="{4F231CC2-4EFC-43CC-9C94-8359B25CABB8}" type="presParOf" srcId="{2DC5311B-E063-40C7-9468-0B6453D2EB49}" destId="{409E176D-26A3-4788-916E-480DEE98B831}" srcOrd="4" destOrd="0" presId="urn:microsoft.com/office/officeart/2005/8/layout/radial3"/>
    <dgm:cxn modelId="{765F171E-13D6-4AE2-8016-E848B303D44F}" type="presParOf" srcId="{2DC5311B-E063-40C7-9468-0B6453D2EB49}" destId="{EE6885D6-4BBA-4854-AFED-772FD866493E}" srcOrd="5"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DAA86-433B-42E8-9212-2F0DE1B76933}" type="doc">
      <dgm:prSet loTypeId="urn:microsoft.com/office/officeart/2005/8/layout/hList1" loCatId="list" qsTypeId="urn:microsoft.com/office/officeart/2005/8/quickstyle/simple1" qsCatId="simple" csTypeId="urn:microsoft.com/office/officeart/2005/8/colors/accent2_2" csCatId="accent2" phldr="1"/>
      <dgm:spPr/>
      <dgm:t>
        <a:bodyPr/>
        <a:lstStyle/>
        <a:p>
          <a:endParaRPr lang="es-MX"/>
        </a:p>
      </dgm:t>
    </dgm:pt>
    <dgm:pt modelId="{EBF2DA7A-E770-42C5-8B0F-40CC9D3B0C7B}">
      <dgm:prSet phldrT="[Texto]"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Desarrollo Social:</a:t>
          </a:r>
        </a:p>
      </dgm:t>
    </dgm:pt>
    <dgm:pt modelId="{7F28B3C2-AA6E-43C1-8E8F-84A838AE1192}" type="parTrans" cxnId="{BB0ED2C8-47D8-4359-ACEF-5A9D79BBAFDC}">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DE7E6263-6EF8-41D9-8071-26DD0D855977}" type="sibTrans" cxnId="{BB0ED2C8-47D8-4359-ACEF-5A9D79BBAFDC}">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81F80E06-BA4C-4C06-8A49-4B3CC55F284A}">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Vivienda y servicios a la comunidad</a:t>
          </a:r>
        </a:p>
      </dgm:t>
    </dgm:pt>
    <dgm:pt modelId="{F8547326-A789-4DB5-BDA1-AD0407FD03BC}" type="parTrans" cxnId="{03439C4F-5CB4-461B-BA20-2E358FBABD41}">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A30D9452-0F86-4962-9F19-6237A34A5043}" type="sibTrans" cxnId="{03439C4F-5CB4-461B-BA20-2E358FBABD41}">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EF416A30-87AE-4FB3-934E-1F4AE9911B6A}">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Protección socia</a:t>
          </a:r>
        </a:p>
      </dgm:t>
    </dgm:pt>
    <dgm:pt modelId="{6746C81F-72CC-4299-8FFB-1613547D1447}" type="parTrans" cxnId="{C6B38C77-A42E-4240-902C-882C6E0B5F1F}">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69BE81C0-7216-4CD1-A18B-4D5083975813}" type="sibTrans" cxnId="{C6B38C77-A42E-4240-902C-882C6E0B5F1F}">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04BE079F-BEB6-475E-9211-2C5E1B2AAD85}">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Otros asuntos sociales</a:t>
          </a:r>
        </a:p>
      </dgm:t>
    </dgm:pt>
    <dgm:pt modelId="{950C786F-7B81-4B29-AEC5-2D5867924772}" type="parTrans" cxnId="{8415B3FA-97A7-4024-817E-134173AA64DE}">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725EB244-2EE9-4ACC-815C-69509427DF8B}" type="sibTrans" cxnId="{8415B3FA-97A7-4024-817E-134173AA64DE}">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F172A224-2D42-4171-93C2-54EE798A3EFF}">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Salud</a:t>
          </a:r>
        </a:p>
      </dgm:t>
    </dgm:pt>
    <dgm:pt modelId="{D90E25E1-F59F-4C69-A6CD-009FAC44B3B8}" type="parTrans" cxnId="{0642A4E1-24AF-4A3D-8B8B-1015F11DEE07}">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3807A2C0-D5C0-4A3C-9877-AF82A1DBD16B}" type="sibTrans" cxnId="{0642A4E1-24AF-4A3D-8B8B-1015F11DEE07}">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914C430E-3556-4AA6-8BBB-D1726F51E7FD}">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Cultura, deporte y Recreación</a:t>
          </a:r>
        </a:p>
      </dgm:t>
    </dgm:pt>
    <dgm:pt modelId="{312EDB6E-F7B7-4EFF-8939-DBC6CA40BCA7}" type="parTrans" cxnId="{DB8AB795-60FB-42EA-9A47-7E9A8DAB6388}">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02CBF01E-A56E-4A00-AB11-849E48A968E7}" type="sibTrans" cxnId="{DB8AB795-60FB-42EA-9A47-7E9A8DAB6388}">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77F0FE88-591C-4167-82BD-DEEE3032E6AB}">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Protección ambiental</a:t>
          </a:r>
        </a:p>
      </dgm:t>
    </dgm:pt>
    <dgm:pt modelId="{2360CF68-8F29-4892-A33D-EF4F0910FD92}" type="parTrans" cxnId="{0578FD68-88F7-4203-B50D-2D31E21EE1DC}">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1ADB589F-8062-4D1A-9D4D-646270402A41}" type="sibTrans" cxnId="{0578FD68-88F7-4203-B50D-2D31E21EE1DC}">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AA04B589-A9BF-4A04-A689-477E120904A9}">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Desarrollo Económico:</a:t>
          </a:r>
        </a:p>
      </dgm:t>
    </dgm:pt>
    <dgm:pt modelId="{990BDD46-8061-4233-9FA3-69B899CE644A}" type="parTrans" cxnId="{8D8A7A78-5348-4D66-8907-46834A158BFC}">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742D1081-1D73-4322-94D1-0B8648CCE664}" type="sibTrans" cxnId="{8D8A7A78-5348-4D66-8907-46834A158BFC}">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E4BA3A97-C788-4314-851D-EAAA5CBDC264}">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Turismo</a:t>
          </a:r>
        </a:p>
      </dgm:t>
    </dgm:pt>
    <dgm:pt modelId="{617C71D4-80BF-4D01-81C3-531319435318}" type="parTrans" cxnId="{4577A78A-9CF7-4CFF-A731-23E4C14C3F77}">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7021403B-B8E2-4A29-9632-AF974F1DA401}" type="sibTrans" cxnId="{4577A78A-9CF7-4CFF-A731-23E4C14C3F77}">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456BD977-9822-4E48-A78E-4EBD8968B1BB}">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Ciencia, tecnología e innovación</a:t>
          </a:r>
        </a:p>
      </dgm:t>
    </dgm:pt>
    <dgm:pt modelId="{6E408E11-7A3A-47CF-996B-B1554DEB2C64}" type="parTrans" cxnId="{F4545923-9F95-4AC5-ADFF-BEFA25602CED}">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A3014B97-464D-4BA2-8E3A-4EAC087087A0}" type="sibTrans" cxnId="{F4545923-9F95-4AC5-ADFF-BEFA25602CED}">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F4BAC4C3-358C-423C-9582-52C8E882F3A0}">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Transporte</a:t>
          </a:r>
        </a:p>
      </dgm:t>
    </dgm:pt>
    <dgm:pt modelId="{E3B89899-97E6-424D-AE85-C5BBF31DDC0B}" type="parTrans" cxnId="{2E7E1B08-E8E3-42EE-82A6-B0181CF013F4}">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91BF81A4-C415-4B24-BFEB-2CBD32B9CB2C}" type="sibTrans" cxnId="{2E7E1B08-E8E3-42EE-82A6-B0181CF013F4}">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E993DD1D-11EF-412A-ADDC-9069157BA107}">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Gobierno:</a:t>
          </a:r>
        </a:p>
      </dgm:t>
    </dgm:pt>
    <dgm:pt modelId="{225F948E-F360-4EDB-8590-B80D1ABE97E9}" type="parTrans" cxnId="{DF560171-42E8-40C4-A0D2-8A8ACE5D11CB}">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5371A0C2-A780-4B9C-AF57-C1A04D7FE88C}" type="sibTrans" cxnId="{DF560171-42E8-40C4-A0D2-8A8ACE5D11CB}">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B426500D-CB44-4EFF-9F84-BE4E3D4C4D2C}">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Otros servicios generales</a:t>
          </a:r>
        </a:p>
      </dgm:t>
    </dgm:pt>
    <dgm:pt modelId="{CE8A2EE9-49DA-4C78-9CDB-F62C810B2B9E}" type="parTrans" cxnId="{A2CFE180-4C32-449F-A8EB-08F7307B0A25}">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EA6D0F56-7FC1-46B2-9CB3-B2FE83AB6BBE}" type="sibTrans" cxnId="{A2CFE180-4C32-449F-A8EB-08F7307B0A25}">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A2561334-7244-4210-8992-EA9379B6B05E}">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Legislación</a:t>
          </a:r>
        </a:p>
      </dgm:t>
    </dgm:pt>
    <dgm:pt modelId="{7BA24BD1-AEEC-4251-8EC9-EB450B7C3FF0}" type="parTrans" cxnId="{1A46A927-8924-41A6-A02D-6A48E9EA59BC}">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7A02670A-186B-4DB3-B548-2C1325F86909}" type="sibTrans" cxnId="{1A46A927-8924-41A6-A02D-6A48E9EA59BC}">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370A0E49-4FC0-4504-8FB8-0EC60AFF975F}">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Asuntos de orden público y de seguridad interior</a:t>
          </a:r>
        </a:p>
      </dgm:t>
    </dgm:pt>
    <dgm:pt modelId="{6972B100-E7E4-4F35-BB4D-D8667F2EA2F3}" type="parTrans" cxnId="{AADA556A-5A2E-4650-9DDA-B0A2B93D1CFA}">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6A7B9C12-E184-4963-8A58-1C4A94B06925}" type="sibTrans" cxnId="{AADA556A-5A2E-4650-9DDA-B0A2B93D1CFA}">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33CE24BC-D6BA-4979-99C8-13EB3C5CCD9E}">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Asuntos financieros y hacendarios</a:t>
          </a:r>
        </a:p>
      </dgm:t>
    </dgm:pt>
    <dgm:pt modelId="{08057147-1806-4F0A-BFAD-43BD0D984E80}" type="parTrans" cxnId="{D9102D8E-FAE7-4326-9DE6-EC800A84060B}">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E3620719-4DB5-4869-998F-91E6989DAD91}" type="sibTrans" cxnId="{D9102D8E-FAE7-4326-9DE6-EC800A84060B}">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0EB9B2CE-372C-4F4F-BCD4-BA92C1E4EF40}">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No clasificadas:</a:t>
          </a:r>
        </a:p>
      </dgm:t>
    </dgm:pt>
    <dgm:pt modelId="{781AA55C-4B48-4809-B32D-479CD6E69DEA}" type="parTrans" cxnId="{BB1254D0-5B1E-4353-8120-D828C97F67C1}">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DB048D84-7EFB-4286-8170-2447226CAB0C}" type="sibTrans" cxnId="{BB1254D0-5B1E-4353-8120-D828C97F67C1}">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EF110F8A-2881-4707-973C-86A81565510A}">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Transferencias, participaciones y aportaciones entre diferentes niveles y órdenes de gobierno</a:t>
          </a:r>
        </a:p>
      </dgm:t>
    </dgm:pt>
    <dgm:pt modelId="{C1170180-D607-4604-B391-3E5D6843B86B}" type="parTrans" cxnId="{59C75D75-4921-4684-BE97-956A377F13A1}">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47533521-FB67-4E23-A768-43589F5B759F}" type="sibTrans" cxnId="{59C75D75-4921-4684-BE97-956A377F13A1}">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8D03C14C-CF4B-4EBC-ACC8-DD18F07D6474}">
      <dgm:prSet custT="1"/>
      <dgm:spPr/>
      <dgm:t>
        <a:bodyPr/>
        <a:lstStyle/>
        <a:p>
          <a:r>
            <a:rPr lang="es-MX" sz="1200">
              <a:latin typeface="Tahoma" panose="020B0604030504040204" pitchFamily="34" charset="0"/>
              <a:ea typeface="Tahoma" panose="020B0604030504040204" pitchFamily="34" charset="0"/>
              <a:cs typeface="Tahoma" panose="020B0604030504040204" pitchFamily="34" charset="0"/>
            </a:rPr>
            <a:t>Transacciones de la deuda pública Costo financiero de la deuda</a:t>
          </a:r>
        </a:p>
      </dgm:t>
    </dgm:pt>
    <dgm:pt modelId="{619E0715-20A2-4F27-9589-75CFB6854741}" type="parTrans" cxnId="{8C77BCFB-54BF-4BF3-BAE7-22989251DF27}">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ED2F1F45-599C-44FC-824F-0403AD3E5145}" type="sibTrans" cxnId="{8C77BCFB-54BF-4BF3-BAE7-22989251DF27}">
      <dgm:prSet/>
      <dgm:spPr/>
      <dgm:t>
        <a:bodyPr/>
        <a:lstStyle/>
        <a:p>
          <a:endParaRPr lang="es-MX" sz="1200">
            <a:latin typeface="Tahoma" panose="020B0604030504040204" pitchFamily="34" charset="0"/>
            <a:ea typeface="Tahoma" panose="020B0604030504040204" pitchFamily="34" charset="0"/>
            <a:cs typeface="Tahoma" panose="020B0604030504040204" pitchFamily="34" charset="0"/>
          </a:endParaRPr>
        </a:p>
      </dgm:t>
    </dgm:pt>
    <dgm:pt modelId="{7ABE84FA-0B62-4896-8AE1-3E7A403C2D1B}" type="pres">
      <dgm:prSet presAssocID="{E69DAA86-433B-42E8-9212-2F0DE1B76933}" presName="Name0" presStyleCnt="0">
        <dgm:presLayoutVars>
          <dgm:dir/>
          <dgm:animLvl val="lvl"/>
          <dgm:resizeHandles val="exact"/>
        </dgm:presLayoutVars>
      </dgm:prSet>
      <dgm:spPr/>
      <dgm:t>
        <a:bodyPr/>
        <a:lstStyle/>
        <a:p>
          <a:endParaRPr lang="en-US"/>
        </a:p>
      </dgm:t>
    </dgm:pt>
    <dgm:pt modelId="{39A97F9D-B564-48C1-8F0A-B503FC5048C6}" type="pres">
      <dgm:prSet presAssocID="{EBF2DA7A-E770-42C5-8B0F-40CC9D3B0C7B}" presName="composite" presStyleCnt="0"/>
      <dgm:spPr/>
    </dgm:pt>
    <dgm:pt modelId="{4CD9C4B5-707B-427B-9BDF-F7359D454F91}" type="pres">
      <dgm:prSet presAssocID="{EBF2DA7A-E770-42C5-8B0F-40CC9D3B0C7B}" presName="parTx" presStyleLbl="alignNode1" presStyleIdx="0" presStyleCnt="4">
        <dgm:presLayoutVars>
          <dgm:chMax val="0"/>
          <dgm:chPref val="0"/>
          <dgm:bulletEnabled val="1"/>
        </dgm:presLayoutVars>
      </dgm:prSet>
      <dgm:spPr/>
      <dgm:t>
        <a:bodyPr/>
        <a:lstStyle/>
        <a:p>
          <a:endParaRPr lang="en-US"/>
        </a:p>
      </dgm:t>
    </dgm:pt>
    <dgm:pt modelId="{42F3AA32-7850-4C86-8B01-915499B79836}" type="pres">
      <dgm:prSet presAssocID="{EBF2DA7A-E770-42C5-8B0F-40CC9D3B0C7B}" presName="desTx" presStyleLbl="alignAccFollowNode1" presStyleIdx="0" presStyleCnt="4">
        <dgm:presLayoutVars>
          <dgm:bulletEnabled val="1"/>
        </dgm:presLayoutVars>
      </dgm:prSet>
      <dgm:spPr/>
      <dgm:t>
        <a:bodyPr/>
        <a:lstStyle/>
        <a:p>
          <a:endParaRPr lang="en-US"/>
        </a:p>
      </dgm:t>
    </dgm:pt>
    <dgm:pt modelId="{07F38007-9048-4C81-BE4F-57CB8CEE287D}" type="pres">
      <dgm:prSet presAssocID="{DE7E6263-6EF8-41D9-8071-26DD0D855977}" presName="space" presStyleCnt="0"/>
      <dgm:spPr/>
    </dgm:pt>
    <dgm:pt modelId="{5FE8E675-06FC-482F-9E06-C08F52B3771C}" type="pres">
      <dgm:prSet presAssocID="{AA04B589-A9BF-4A04-A689-477E120904A9}" presName="composite" presStyleCnt="0"/>
      <dgm:spPr/>
    </dgm:pt>
    <dgm:pt modelId="{559458BC-F4D5-4E08-BCB2-516828FEEF7F}" type="pres">
      <dgm:prSet presAssocID="{AA04B589-A9BF-4A04-A689-477E120904A9}" presName="parTx" presStyleLbl="alignNode1" presStyleIdx="1" presStyleCnt="4">
        <dgm:presLayoutVars>
          <dgm:chMax val="0"/>
          <dgm:chPref val="0"/>
          <dgm:bulletEnabled val="1"/>
        </dgm:presLayoutVars>
      </dgm:prSet>
      <dgm:spPr/>
      <dgm:t>
        <a:bodyPr/>
        <a:lstStyle/>
        <a:p>
          <a:endParaRPr lang="en-US"/>
        </a:p>
      </dgm:t>
    </dgm:pt>
    <dgm:pt modelId="{4B78F601-EC6B-43DA-81B3-ADAA59E7C7A4}" type="pres">
      <dgm:prSet presAssocID="{AA04B589-A9BF-4A04-A689-477E120904A9}" presName="desTx" presStyleLbl="alignAccFollowNode1" presStyleIdx="1" presStyleCnt="4">
        <dgm:presLayoutVars>
          <dgm:bulletEnabled val="1"/>
        </dgm:presLayoutVars>
      </dgm:prSet>
      <dgm:spPr/>
      <dgm:t>
        <a:bodyPr/>
        <a:lstStyle/>
        <a:p>
          <a:endParaRPr lang="en-US"/>
        </a:p>
      </dgm:t>
    </dgm:pt>
    <dgm:pt modelId="{D81BB2BB-6856-4EE7-920C-37BB2F7AF654}" type="pres">
      <dgm:prSet presAssocID="{742D1081-1D73-4322-94D1-0B8648CCE664}" presName="space" presStyleCnt="0"/>
      <dgm:spPr/>
    </dgm:pt>
    <dgm:pt modelId="{9074292D-D302-49D9-BC7A-EDD81BCCEFE3}" type="pres">
      <dgm:prSet presAssocID="{E993DD1D-11EF-412A-ADDC-9069157BA107}" presName="composite" presStyleCnt="0"/>
      <dgm:spPr/>
    </dgm:pt>
    <dgm:pt modelId="{EC4B0DAD-B14C-4D12-B291-1DCACE41C2C0}" type="pres">
      <dgm:prSet presAssocID="{E993DD1D-11EF-412A-ADDC-9069157BA107}" presName="parTx" presStyleLbl="alignNode1" presStyleIdx="2" presStyleCnt="4">
        <dgm:presLayoutVars>
          <dgm:chMax val="0"/>
          <dgm:chPref val="0"/>
          <dgm:bulletEnabled val="1"/>
        </dgm:presLayoutVars>
      </dgm:prSet>
      <dgm:spPr/>
      <dgm:t>
        <a:bodyPr/>
        <a:lstStyle/>
        <a:p>
          <a:endParaRPr lang="en-US"/>
        </a:p>
      </dgm:t>
    </dgm:pt>
    <dgm:pt modelId="{5E57B212-810E-4F88-BBAA-59CAB7787CA0}" type="pres">
      <dgm:prSet presAssocID="{E993DD1D-11EF-412A-ADDC-9069157BA107}" presName="desTx" presStyleLbl="alignAccFollowNode1" presStyleIdx="2" presStyleCnt="4">
        <dgm:presLayoutVars>
          <dgm:bulletEnabled val="1"/>
        </dgm:presLayoutVars>
      </dgm:prSet>
      <dgm:spPr/>
      <dgm:t>
        <a:bodyPr/>
        <a:lstStyle/>
        <a:p>
          <a:endParaRPr lang="en-US"/>
        </a:p>
      </dgm:t>
    </dgm:pt>
    <dgm:pt modelId="{32A0F4E6-7484-4B25-AB02-D3D24F306031}" type="pres">
      <dgm:prSet presAssocID="{5371A0C2-A780-4B9C-AF57-C1A04D7FE88C}" presName="space" presStyleCnt="0"/>
      <dgm:spPr/>
    </dgm:pt>
    <dgm:pt modelId="{84FE889F-CFCD-4BCC-8006-65F71AEBC132}" type="pres">
      <dgm:prSet presAssocID="{0EB9B2CE-372C-4F4F-BCD4-BA92C1E4EF40}" presName="composite" presStyleCnt="0"/>
      <dgm:spPr/>
    </dgm:pt>
    <dgm:pt modelId="{3F2FFE88-71E0-45D4-A9A2-5C40D676F391}" type="pres">
      <dgm:prSet presAssocID="{0EB9B2CE-372C-4F4F-BCD4-BA92C1E4EF40}" presName="parTx" presStyleLbl="alignNode1" presStyleIdx="3" presStyleCnt="4">
        <dgm:presLayoutVars>
          <dgm:chMax val="0"/>
          <dgm:chPref val="0"/>
          <dgm:bulletEnabled val="1"/>
        </dgm:presLayoutVars>
      </dgm:prSet>
      <dgm:spPr/>
      <dgm:t>
        <a:bodyPr/>
        <a:lstStyle/>
        <a:p>
          <a:endParaRPr lang="en-US"/>
        </a:p>
      </dgm:t>
    </dgm:pt>
    <dgm:pt modelId="{2269E86C-5596-4CFE-9DAC-17213F4848C1}" type="pres">
      <dgm:prSet presAssocID="{0EB9B2CE-372C-4F4F-BCD4-BA92C1E4EF40}" presName="desTx" presStyleLbl="alignAccFollowNode1" presStyleIdx="3" presStyleCnt="4">
        <dgm:presLayoutVars>
          <dgm:bulletEnabled val="1"/>
        </dgm:presLayoutVars>
      </dgm:prSet>
      <dgm:spPr/>
      <dgm:t>
        <a:bodyPr/>
        <a:lstStyle/>
        <a:p>
          <a:endParaRPr lang="en-US"/>
        </a:p>
      </dgm:t>
    </dgm:pt>
  </dgm:ptLst>
  <dgm:cxnLst>
    <dgm:cxn modelId="{1CADDB8C-7B1F-4913-BE5A-B81A532D14E7}" type="presOf" srcId="{77F0FE88-591C-4167-82BD-DEEE3032E6AB}" destId="{42F3AA32-7850-4C86-8B01-915499B79836}" srcOrd="0" destOrd="5" presId="urn:microsoft.com/office/officeart/2005/8/layout/hList1"/>
    <dgm:cxn modelId="{EEBECC97-C6D1-4E2E-B066-47E04CA4A954}" type="presOf" srcId="{A2561334-7244-4210-8992-EA9379B6B05E}" destId="{5E57B212-810E-4F88-BBAA-59CAB7787CA0}" srcOrd="0" destOrd="1" presId="urn:microsoft.com/office/officeart/2005/8/layout/hList1"/>
    <dgm:cxn modelId="{C6B38C77-A42E-4240-902C-882C6E0B5F1F}" srcId="{EBF2DA7A-E770-42C5-8B0F-40CC9D3B0C7B}" destId="{EF416A30-87AE-4FB3-934E-1F4AE9911B6A}" srcOrd="1" destOrd="0" parTransId="{6746C81F-72CC-4299-8FFB-1613547D1447}" sibTransId="{69BE81C0-7216-4CD1-A18B-4D5083975813}"/>
    <dgm:cxn modelId="{2604D47C-30E8-4FF9-85EF-B3C2C42F4B6A}" type="presOf" srcId="{04BE079F-BEB6-475E-9211-2C5E1B2AAD85}" destId="{42F3AA32-7850-4C86-8B01-915499B79836}" srcOrd="0" destOrd="2" presId="urn:microsoft.com/office/officeart/2005/8/layout/hList1"/>
    <dgm:cxn modelId="{DF560171-42E8-40C4-A0D2-8A8ACE5D11CB}" srcId="{E69DAA86-433B-42E8-9212-2F0DE1B76933}" destId="{E993DD1D-11EF-412A-ADDC-9069157BA107}" srcOrd="2" destOrd="0" parTransId="{225F948E-F360-4EDB-8590-B80D1ABE97E9}" sibTransId="{5371A0C2-A780-4B9C-AF57-C1A04D7FE88C}"/>
    <dgm:cxn modelId="{03439C4F-5CB4-461B-BA20-2E358FBABD41}" srcId="{EBF2DA7A-E770-42C5-8B0F-40CC9D3B0C7B}" destId="{81F80E06-BA4C-4C06-8A49-4B3CC55F284A}" srcOrd="0" destOrd="0" parTransId="{F8547326-A789-4DB5-BDA1-AD0407FD03BC}" sibTransId="{A30D9452-0F86-4962-9F19-6237A34A5043}"/>
    <dgm:cxn modelId="{937E3B13-D76A-44BF-B20E-181525B91FEE}" type="presOf" srcId="{0EB9B2CE-372C-4F4F-BCD4-BA92C1E4EF40}" destId="{3F2FFE88-71E0-45D4-A9A2-5C40D676F391}" srcOrd="0" destOrd="0" presId="urn:microsoft.com/office/officeart/2005/8/layout/hList1"/>
    <dgm:cxn modelId="{2023A4C4-A2CE-4243-B71B-726DAB270AA9}" type="presOf" srcId="{F172A224-2D42-4171-93C2-54EE798A3EFF}" destId="{42F3AA32-7850-4C86-8B01-915499B79836}" srcOrd="0" destOrd="3" presId="urn:microsoft.com/office/officeart/2005/8/layout/hList1"/>
    <dgm:cxn modelId="{2E7E1B08-E8E3-42EE-82A6-B0181CF013F4}" srcId="{AA04B589-A9BF-4A04-A689-477E120904A9}" destId="{F4BAC4C3-358C-423C-9582-52C8E882F3A0}" srcOrd="2" destOrd="0" parTransId="{E3B89899-97E6-424D-AE85-C5BBF31DDC0B}" sibTransId="{91BF81A4-C415-4B24-BFEB-2CBD32B9CB2C}"/>
    <dgm:cxn modelId="{29EF19BA-FE16-4E9F-A671-877921491947}" type="presOf" srcId="{81F80E06-BA4C-4C06-8A49-4B3CC55F284A}" destId="{42F3AA32-7850-4C86-8B01-915499B79836}" srcOrd="0" destOrd="0" presId="urn:microsoft.com/office/officeart/2005/8/layout/hList1"/>
    <dgm:cxn modelId="{D9102D8E-FAE7-4326-9DE6-EC800A84060B}" srcId="{E993DD1D-11EF-412A-ADDC-9069157BA107}" destId="{33CE24BC-D6BA-4979-99C8-13EB3C5CCD9E}" srcOrd="3" destOrd="0" parTransId="{08057147-1806-4F0A-BFAD-43BD0D984E80}" sibTransId="{E3620719-4DB5-4869-998F-91E6989DAD91}"/>
    <dgm:cxn modelId="{0A0FE3E9-0BB2-408A-A47B-9A7C756D6174}" type="presOf" srcId="{B426500D-CB44-4EFF-9F84-BE4E3D4C4D2C}" destId="{5E57B212-810E-4F88-BBAA-59CAB7787CA0}" srcOrd="0" destOrd="0" presId="urn:microsoft.com/office/officeart/2005/8/layout/hList1"/>
    <dgm:cxn modelId="{8C77BCFB-54BF-4BF3-BAE7-22989251DF27}" srcId="{0EB9B2CE-372C-4F4F-BCD4-BA92C1E4EF40}" destId="{8D03C14C-CF4B-4EBC-ACC8-DD18F07D6474}" srcOrd="1" destOrd="0" parTransId="{619E0715-20A2-4F27-9589-75CFB6854741}" sibTransId="{ED2F1F45-599C-44FC-824F-0403AD3E5145}"/>
    <dgm:cxn modelId="{1A46A927-8924-41A6-A02D-6A48E9EA59BC}" srcId="{E993DD1D-11EF-412A-ADDC-9069157BA107}" destId="{A2561334-7244-4210-8992-EA9379B6B05E}" srcOrd="1" destOrd="0" parTransId="{7BA24BD1-AEEC-4251-8EC9-EB450B7C3FF0}" sibTransId="{7A02670A-186B-4DB3-B548-2C1325F86909}"/>
    <dgm:cxn modelId="{59C75D75-4921-4684-BE97-956A377F13A1}" srcId="{0EB9B2CE-372C-4F4F-BCD4-BA92C1E4EF40}" destId="{EF110F8A-2881-4707-973C-86A81565510A}" srcOrd="0" destOrd="0" parTransId="{C1170180-D607-4604-B391-3E5D6843B86B}" sibTransId="{47533521-FB67-4E23-A768-43589F5B759F}"/>
    <dgm:cxn modelId="{621B3672-3D18-4CFC-9717-B264BB3C877C}" type="presOf" srcId="{8D03C14C-CF4B-4EBC-ACC8-DD18F07D6474}" destId="{2269E86C-5596-4CFE-9DAC-17213F4848C1}" srcOrd="0" destOrd="1" presId="urn:microsoft.com/office/officeart/2005/8/layout/hList1"/>
    <dgm:cxn modelId="{F4545923-9F95-4AC5-ADFF-BEFA25602CED}" srcId="{AA04B589-A9BF-4A04-A689-477E120904A9}" destId="{456BD977-9822-4E48-A78E-4EBD8968B1BB}" srcOrd="1" destOrd="0" parTransId="{6E408E11-7A3A-47CF-996B-B1554DEB2C64}" sibTransId="{A3014B97-464D-4BA2-8E3A-4EAC087087A0}"/>
    <dgm:cxn modelId="{4577A78A-9CF7-4CFF-A731-23E4C14C3F77}" srcId="{AA04B589-A9BF-4A04-A689-477E120904A9}" destId="{E4BA3A97-C788-4314-851D-EAAA5CBDC264}" srcOrd="0" destOrd="0" parTransId="{617C71D4-80BF-4D01-81C3-531319435318}" sibTransId="{7021403B-B8E2-4A29-9632-AF974F1DA401}"/>
    <dgm:cxn modelId="{8D8A7A78-5348-4D66-8907-46834A158BFC}" srcId="{E69DAA86-433B-42E8-9212-2F0DE1B76933}" destId="{AA04B589-A9BF-4A04-A689-477E120904A9}" srcOrd="1" destOrd="0" parTransId="{990BDD46-8061-4233-9FA3-69B899CE644A}" sibTransId="{742D1081-1D73-4322-94D1-0B8648CCE664}"/>
    <dgm:cxn modelId="{CA2DB46C-4850-4319-B14E-43AFF960D766}" type="presOf" srcId="{456BD977-9822-4E48-A78E-4EBD8968B1BB}" destId="{4B78F601-EC6B-43DA-81B3-ADAA59E7C7A4}" srcOrd="0" destOrd="1" presId="urn:microsoft.com/office/officeart/2005/8/layout/hList1"/>
    <dgm:cxn modelId="{2549E432-FCB9-4889-8FFC-29787DFC19D4}" type="presOf" srcId="{F4BAC4C3-358C-423C-9582-52C8E882F3A0}" destId="{4B78F601-EC6B-43DA-81B3-ADAA59E7C7A4}" srcOrd="0" destOrd="2" presId="urn:microsoft.com/office/officeart/2005/8/layout/hList1"/>
    <dgm:cxn modelId="{4A2A7931-C696-4E93-84EB-E1CC35ECBD96}" type="presOf" srcId="{E69DAA86-433B-42E8-9212-2F0DE1B76933}" destId="{7ABE84FA-0B62-4896-8AE1-3E7A403C2D1B}" srcOrd="0" destOrd="0" presId="urn:microsoft.com/office/officeart/2005/8/layout/hList1"/>
    <dgm:cxn modelId="{0578FD68-88F7-4203-B50D-2D31E21EE1DC}" srcId="{EBF2DA7A-E770-42C5-8B0F-40CC9D3B0C7B}" destId="{77F0FE88-591C-4167-82BD-DEEE3032E6AB}" srcOrd="5" destOrd="0" parTransId="{2360CF68-8F29-4892-A33D-EF4F0910FD92}" sibTransId="{1ADB589F-8062-4D1A-9D4D-646270402A41}"/>
    <dgm:cxn modelId="{D46787A5-AF5B-4FF6-A32E-7F403EDBEC41}" type="presOf" srcId="{AA04B589-A9BF-4A04-A689-477E120904A9}" destId="{559458BC-F4D5-4E08-BCB2-516828FEEF7F}" srcOrd="0" destOrd="0" presId="urn:microsoft.com/office/officeart/2005/8/layout/hList1"/>
    <dgm:cxn modelId="{2F33B20C-960C-4AAE-B436-7A0DB461A4B3}" type="presOf" srcId="{370A0E49-4FC0-4504-8FB8-0EC60AFF975F}" destId="{5E57B212-810E-4F88-BBAA-59CAB7787CA0}" srcOrd="0" destOrd="2" presId="urn:microsoft.com/office/officeart/2005/8/layout/hList1"/>
    <dgm:cxn modelId="{DB8AB795-60FB-42EA-9A47-7E9A8DAB6388}" srcId="{EBF2DA7A-E770-42C5-8B0F-40CC9D3B0C7B}" destId="{914C430E-3556-4AA6-8BBB-D1726F51E7FD}" srcOrd="4" destOrd="0" parTransId="{312EDB6E-F7B7-4EFF-8939-DBC6CA40BCA7}" sibTransId="{02CBF01E-A56E-4A00-AB11-849E48A968E7}"/>
    <dgm:cxn modelId="{243463D6-A79E-4B15-A336-8941A4D1D468}" type="presOf" srcId="{E993DD1D-11EF-412A-ADDC-9069157BA107}" destId="{EC4B0DAD-B14C-4D12-B291-1DCACE41C2C0}" srcOrd="0" destOrd="0" presId="urn:microsoft.com/office/officeart/2005/8/layout/hList1"/>
    <dgm:cxn modelId="{8415B3FA-97A7-4024-817E-134173AA64DE}" srcId="{EBF2DA7A-E770-42C5-8B0F-40CC9D3B0C7B}" destId="{04BE079F-BEB6-475E-9211-2C5E1B2AAD85}" srcOrd="2" destOrd="0" parTransId="{950C786F-7B81-4B29-AEC5-2D5867924772}" sibTransId="{725EB244-2EE9-4ACC-815C-69509427DF8B}"/>
    <dgm:cxn modelId="{4223BCB9-D862-4392-90B9-A18BC087C8BD}" type="presOf" srcId="{EBF2DA7A-E770-42C5-8B0F-40CC9D3B0C7B}" destId="{4CD9C4B5-707B-427B-9BDF-F7359D454F91}" srcOrd="0" destOrd="0" presId="urn:microsoft.com/office/officeart/2005/8/layout/hList1"/>
    <dgm:cxn modelId="{0642A4E1-24AF-4A3D-8B8B-1015F11DEE07}" srcId="{EBF2DA7A-E770-42C5-8B0F-40CC9D3B0C7B}" destId="{F172A224-2D42-4171-93C2-54EE798A3EFF}" srcOrd="3" destOrd="0" parTransId="{D90E25E1-F59F-4C69-A6CD-009FAC44B3B8}" sibTransId="{3807A2C0-D5C0-4A3C-9877-AF82A1DBD16B}"/>
    <dgm:cxn modelId="{AADA556A-5A2E-4650-9DDA-B0A2B93D1CFA}" srcId="{E993DD1D-11EF-412A-ADDC-9069157BA107}" destId="{370A0E49-4FC0-4504-8FB8-0EC60AFF975F}" srcOrd="2" destOrd="0" parTransId="{6972B100-E7E4-4F35-BB4D-D8667F2EA2F3}" sibTransId="{6A7B9C12-E184-4963-8A58-1C4A94B06925}"/>
    <dgm:cxn modelId="{EB2A197B-3240-4FF4-9316-B4DA076D53E3}" type="presOf" srcId="{E4BA3A97-C788-4314-851D-EAAA5CBDC264}" destId="{4B78F601-EC6B-43DA-81B3-ADAA59E7C7A4}" srcOrd="0" destOrd="0" presId="urn:microsoft.com/office/officeart/2005/8/layout/hList1"/>
    <dgm:cxn modelId="{2B98131B-C286-4F55-9A61-30F85907772D}" type="presOf" srcId="{EF110F8A-2881-4707-973C-86A81565510A}" destId="{2269E86C-5596-4CFE-9DAC-17213F4848C1}" srcOrd="0" destOrd="0" presId="urn:microsoft.com/office/officeart/2005/8/layout/hList1"/>
    <dgm:cxn modelId="{BB0ED2C8-47D8-4359-ACEF-5A9D79BBAFDC}" srcId="{E69DAA86-433B-42E8-9212-2F0DE1B76933}" destId="{EBF2DA7A-E770-42C5-8B0F-40CC9D3B0C7B}" srcOrd="0" destOrd="0" parTransId="{7F28B3C2-AA6E-43C1-8E8F-84A838AE1192}" sibTransId="{DE7E6263-6EF8-41D9-8071-26DD0D855977}"/>
    <dgm:cxn modelId="{7C1320B9-E583-40AB-B4D4-78D3B1BFDF37}" type="presOf" srcId="{EF416A30-87AE-4FB3-934E-1F4AE9911B6A}" destId="{42F3AA32-7850-4C86-8B01-915499B79836}" srcOrd="0" destOrd="1" presId="urn:microsoft.com/office/officeart/2005/8/layout/hList1"/>
    <dgm:cxn modelId="{1808B467-5E85-4988-B42B-A641AA193EFF}" type="presOf" srcId="{33CE24BC-D6BA-4979-99C8-13EB3C5CCD9E}" destId="{5E57B212-810E-4F88-BBAA-59CAB7787CA0}" srcOrd="0" destOrd="3" presId="urn:microsoft.com/office/officeart/2005/8/layout/hList1"/>
    <dgm:cxn modelId="{8A453FE5-B852-4918-A944-CC68F6E851C4}" type="presOf" srcId="{914C430E-3556-4AA6-8BBB-D1726F51E7FD}" destId="{42F3AA32-7850-4C86-8B01-915499B79836}" srcOrd="0" destOrd="4" presId="urn:microsoft.com/office/officeart/2005/8/layout/hList1"/>
    <dgm:cxn modelId="{A2CFE180-4C32-449F-A8EB-08F7307B0A25}" srcId="{E993DD1D-11EF-412A-ADDC-9069157BA107}" destId="{B426500D-CB44-4EFF-9F84-BE4E3D4C4D2C}" srcOrd="0" destOrd="0" parTransId="{CE8A2EE9-49DA-4C78-9CDB-F62C810B2B9E}" sibTransId="{EA6D0F56-7FC1-46B2-9CB3-B2FE83AB6BBE}"/>
    <dgm:cxn modelId="{BB1254D0-5B1E-4353-8120-D828C97F67C1}" srcId="{E69DAA86-433B-42E8-9212-2F0DE1B76933}" destId="{0EB9B2CE-372C-4F4F-BCD4-BA92C1E4EF40}" srcOrd="3" destOrd="0" parTransId="{781AA55C-4B48-4809-B32D-479CD6E69DEA}" sibTransId="{DB048D84-7EFB-4286-8170-2447226CAB0C}"/>
    <dgm:cxn modelId="{9DE263D1-DA71-415A-8DEC-E8B10B0B7D0F}" type="presParOf" srcId="{7ABE84FA-0B62-4896-8AE1-3E7A403C2D1B}" destId="{39A97F9D-B564-48C1-8F0A-B503FC5048C6}" srcOrd="0" destOrd="0" presId="urn:microsoft.com/office/officeart/2005/8/layout/hList1"/>
    <dgm:cxn modelId="{18B646D8-9C4D-4967-B2B5-D213658E2CFD}" type="presParOf" srcId="{39A97F9D-B564-48C1-8F0A-B503FC5048C6}" destId="{4CD9C4B5-707B-427B-9BDF-F7359D454F91}" srcOrd="0" destOrd="0" presId="urn:microsoft.com/office/officeart/2005/8/layout/hList1"/>
    <dgm:cxn modelId="{8DAAE70C-DB87-417B-8F74-C4D63738E557}" type="presParOf" srcId="{39A97F9D-B564-48C1-8F0A-B503FC5048C6}" destId="{42F3AA32-7850-4C86-8B01-915499B79836}" srcOrd="1" destOrd="0" presId="urn:microsoft.com/office/officeart/2005/8/layout/hList1"/>
    <dgm:cxn modelId="{82C8A674-C1F1-4AD9-B793-F832D74CA178}" type="presParOf" srcId="{7ABE84FA-0B62-4896-8AE1-3E7A403C2D1B}" destId="{07F38007-9048-4C81-BE4F-57CB8CEE287D}" srcOrd="1" destOrd="0" presId="urn:microsoft.com/office/officeart/2005/8/layout/hList1"/>
    <dgm:cxn modelId="{E79CF97F-BF2B-4491-80B5-346E78BAC99A}" type="presParOf" srcId="{7ABE84FA-0B62-4896-8AE1-3E7A403C2D1B}" destId="{5FE8E675-06FC-482F-9E06-C08F52B3771C}" srcOrd="2" destOrd="0" presId="urn:microsoft.com/office/officeart/2005/8/layout/hList1"/>
    <dgm:cxn modelId="{295D2EA5-E4DA-4C5C-B42F-02FDC5423192}" type="presParOf" srcId="{5FE8E675-06FC-482F-9E06-C08F52B3771C}" destId="{559458BC-F4D5-4E08-BCB2-516828FEEF7F}" srcOrd="0" destOrd="0" presId="urn:microsoft.com/office/officeart/2005/8/layout/hList1"/>
    <dgm:cxn modelId="{C986BA43-AE9F-46D4-995E-7411A52EDF3A}" type="presParOf" srcId="{5FE8E675-06FC-482F-9E06-C08F52B3771C}" destId="{4B78F601-EC6B-43DA-81B3-ADAA59E7C7A4}" srcOrd="1" destOrd="0" presId="urn:microsoft.com/office/officeart/2005/8/layout/hList1"/>
    <dgm:cxn modelId="{B6798EDC-C0F3-456D-A1E0-B290185BF4FA}" type="presParOf" srcId="{7ABE84FA-0B62-4896-8AE1-3E7A403C2D1B}" destId="{D81BB2BB-6856-4EE7-920C-37BB2F7AF654}" srcOrd="3" destOrd="0" presId="urn:microsoft.com/office/officeart/2005/8/layout/hList1"/>
    <dgm:cxn modelId="{3A931446-0007-4BCF-BFC9-838FFFD4166D}" type="presParOf" srcId="{7ABE84FA-0B62-4896-8AE1-3E7A403C2D1B}" destId="{9074292D-D302-49D9-BC7A-EDD81BCCEFE3}" srcOrd="4" destOrd="0" presId="urn:microsoft.com/office/officeart/2005/8/layout/hList1"/>
    <dgm:cxn modelId="{5163B84E-B516-4DE7-A380-3C2EBD35E092}" type="presParOf" srcId="{9074292D-D302-49D9-BC7A-EDD81BCCEFE3}" destId="{EC4B0DAD-B14C-4D12-B291-1DCACE41C2C0}" srcOrd="0" destOrd="0" presId="urn:microsoft.com/office/officeart/2005/8/layout/hList1"/>
    <dgm:cxn modelId="{CE05B556-C6F4-40C7-9FF4-0FAEBBE26234}" type="presParOf" srcId="{9074292D-D302-49D9-BC7A-EDD81BCCEFE3}" destId="{5E57B212-810E-4F88-BBAA-59CAB7787CA0}" srcOrd="1" destOrd="0" presId="urn:microsoft.com/office/officeart/2005/8/layout/hList1"/>
    <dgm:cxn modelId="{82C45466-81CB-4769-AD54-653EB4DBFC43}" type="presParOf" srcId="{7ABE84FA-0B62-4896-8AE1-3E7A403C2D1B}" destId="{32A0F4E6-7484-4B25-AB02-D3D24F306031}" srcOrd="5" destOrd="0" presId="urn:microsoft.com/office/officeart/2005/8/layout/hList1"/>
    <dgm:cxn modelId="{C1CECF11-B60D-4A02-9F4A-AF216ACCE832}" type="presParOf" srcId="{7ABE84FA-0B62-4896-8AE1-3E7A403C2D1B}" destId="{84FE889F-CFCD-4BCC-8006-65F71AEBC132}" srcOrd="6" destOrd="0" presId="urn:microsoft.com/office/officeart/2005/8/layout/hList1"/>
    <dgm:cxn modelId="{FFED7B8F-5FE5-40B5-A406-85FA8129CEFE}" type="presParOf" srcId="{84FE889F-CFCD-4BCC-8006-65F71AEBC132}" destId="{3F2FFE88-71E0-45D4-A9A2-5C40D676F391}" srcOrd="0" destOrd="0" presId="urn:microsoft.com/office/officeart/2005/8/layout/hList1"/>
    <dgm:cxn modelId="{0E100FA3-3294-4D7F-90DE-2D705D6486A4}" type="presParOf" srcId="{84FE889F-CFCD-4BCC-8006-65F71AEBC132}" destId="{2269E86C-5596-4CFE-9DAC-17213F4848C1}"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4E27E-5433-49C8-A46A-D43B2E4F5F55}">
      <dsp:nvSpPr>
        <dsp:cNvPr id="0" name=""/>
        <dsp:cNvSpPr/>
      </dsp:nvSpPr>
      <dsp:spPr>
        <a:xfrm>
          <a:off x="2050484" y="668226"/>
          <a:ext cx="1433055" cy="1515381"/>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s-MX" sz="1800" kern="1200"/>
            <a:t>Baja California 3´315,766</a:t>
          </a:r>
        </a:p>
      </dsp:txBody>
      <dsp:txXfrm>
        <a:off x="2260350" y="890148"/>
        <a:ext cx="1013323" cy="1071537"/>
      </dsp:txXfrm>
    </dsp:sp>
    <dsp:sp modelId="{DE8D1C5E-1349-4936-8F5E-B84E27328625}">
      <dsp:nvSpPr>
        <dsp:cNvPr id="0" name=""/>
        <dsp:cNvSpPr/>
      </dsp:nvSpPr>
      <dsp:spPr>
        <a:xfrm>
          <a:off x="2195395" y="-15950"/>
          <a:ext cx="1143234" cy="923727"/>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kern="1200"/>
            <a:t>Ensenada 535,361</a:t>
          </a:r>
        </a:p>
      </dsp:txBody>
      <dsp:txXfrm>
        <a:off x="2362818" y="119327"/>
        <a:ext cx="808388" cy="653173"/>
      </dsp:txXfrm>
    </dsp:sp>
    <dsp:sp modelId="{1A4EF07C-E727-422D-8D5B-144B571CB902}">
      <dsp:nvSpPr>
        <dsp:cNvPr id="0" name=""/>
        <dsp:cNvSpPr/>
      </dsp:nvSpPr>
      <dsp:spPr>
        <a:xfrm>
          <a:off x="3299550" y="604683"/>
          <a:ext cx="1133999" cy="1016890"/>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kern="1200"/>
            <a:t>Mexicali 1´052,656</a:t>
          </a:r>
        </a:p>
      </dsp:txBody>
      <dsp:txXfrm>
        <a:off x="3465620" y="753603"/>
        <a:ext cx="801859" cy="719050"/>
      </dsp:txXfrm>
    </dsp:sp>
    <dsp:sp modelId="{D4EBBE3E-AE78-4CD2-B842-3602EFB5D989}">
      <dsp:nvSpPr>
        <dsp:cNvPr id="0" name=""/>
        <dsp:cNvSpPr/>
      </dsp:nvSpPr>
      <dsp:spPr>
        <a:xfrm>
          <a:off x="3036505" y="1688207"/>
          <a:ext cx="1133999" cy="1016890"/>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kern="1200"/>
            <a:t>Tijuana 1´773,556</a:t>
          </a:r>
        </a:p>
      </dsp:txBody>
      <dsp:txXfrm>
        <a:off x="3202575" y="1837127"/>
        <a:ext cx="801859" cy="719050"/>
      </dsp:txXfrm>
    </dsp:sp>
    <dsp:sp modelId="{409E176D-26A3-4788-916E-480DEE98B831}">
      <dsp:nvSpPr>
        <dsp:cNvPr id="0" name=""/>
        <dsp:cNvSpPr/>
      </dsp:nvSpPr>
      <dsp:spPr>
        <a:xfrm>
          <a:off x="1339377" y="1670132"/>
          <a:ext cx="1133999" cy="1016890"/>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kern="1200"/>
            <a:t>Tecate 114,095</a:t>
          </a:r>
        </a:p>
      </dsp:txBody>
      <dsp:txXfrm>
        <a:off x="1505447" y="1819052"/>
        <a:ext cx="801859" cy="719050"/>
      </dsp:txXfrm>
    </dsp:sp>
    <dsp:sp modelId="{EE6885D6-4BBA-4854-AFED-772FD866493E}">
      <dsp:nvSpPr>
        <dsp:cNvPr id="0" name=""/>
        <dsp:cNvSpPr/>
      </dsp:nvSpPr>
      <dsp:spPr>
        <a:xfrm>
          <a:off x="1108525" y="604689"/>
          <a:ext cx="1133999" cy="1016890"/>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kern="1200"/>
            <a:t>Playas de Rosarito 108,935</a:t>
          </a:r>
        </a:p>
      </dsp:txBody>
      <dsp:txXfrm>
        <a:off x="1274595" y="753609"/>
        <a:ext cx="801859" cy="7190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D9C4B5-707B-427B-9BDF-F7359D454F91}">
      <dsp:nvSpPr>
        <dsp:cNvPr id="0" name=""/>
        <dsp:cNvSpPr/>
      </dsp:nvSpPr>
      <dsp:spPr>
        <a:xfrm>
          <a:off x="7568" y="20999"/>
          <a:ext cx="1263702" cy="438506"/>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MX" sz="1200" kern="1200">
              <a:latin typeface="Tahoma" panose="020B0604030504040204" pitchFamily="34" charset="0"/>
              <a:ea typeface="Tahoma" panose="020B0604030504040204" pitchFamily="34" charset="0"/>
              <a:cs typeface="Tahoma" panose="020B0604030504040204" pitchFamily="34" charset="0"/>
            </a:rPr>
            <a:t>Desarrollo Social:</a:t>
          </a:r>
        </a:p>
      </dsp:txBody>
      <dsp:txXfrm>
        <a:off x="7568" y="20999"/>
        <a:ext cx="1263702" cy="438506"/>
      </dsp:txXfrm>
    </dsp:sp>
    <dsp:sp modelId="{42F3AA32-7850-4C86-8B01-915499B79836}">
      <dsp:nvSpPr>
        <dsp:cNvPr id="0" name=""/>
        <dsp:cNvSpPr/>
      </dsp:nvSpPr>
      <dsp:spPr>
        <a:xfrm>
          <a:off x="7568" y="459505"/>
          <a:ext cx="1263702" cy="2547703"/>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Vivienda y servicios a la comunidad</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Protección socia</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Otros asuntos sociales</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Salud</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Cultura, deporte y Recreación</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Protección ambiental</a:t>
          </a:r>
        </a:p>
      </dsp:txBody>
      <dsp:txXfrm>
        <a:off x="7568" y="459505"/>
        <a:ext cx="1263702" cy="2547703"/>
      </dsp:txXfrm>
    </dsp:sp>
    <dsp:sp modelId="{559458BC-F4D5-4E08-BCB2-516828FEEF7F}">
      <dsp:nvSpPr>
        <dsp:cNvPr id="0" name=""/>
        <dsp:cNvSpPr/>
      </dsp:nvSpPr>
      <dsp:spPr>
        <a:xfrm>
          <a:off x="1448188" y="20999"/>
          <a:ext cx="1263702" cy="438506"/>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MX" sz="1200" kern="1200">
              <a:latin typeface="Tahoma" panose="020B0604030504040204" pitchFamily="34" charset="0"/>
              <a:ea typeface="Tahoma" panose="020B0604030504040204" pitchFamily="34" charset="0"/>
              <a:cs typeface="Tahoma" panose="020B0604030504040204" pitchFamily="34" charset="0"/>
            </a:rPr>
            <a:t>Desarrollo Económico:</a:t>
          </a:r>
        </a:p>
      </dsp:txBody>
      <dsp:txXfrm>
        <a:off x="1448188" y="20999"/>
        <a:ext cx="1263702" cy="438506"/>
      </dsp:txXfrm>
    </dsp:sp>
    <dsp:sp modelId="{4B78F601-EC6B-43DA-81B3-ADAA59E7C7A4}">
      <dsp:nvSpPr>
        <dsp:cNvPr id="0" name=""/>
        <dsp:cNvSpPr/>
      </dsp:nvSpPr>
      <dsp:spPr>
        <a:xfrm>
          <a:off x="1448188" y="459505"/>
          <a:ext cx="1263702" cy="2547703"/>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Turismo</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Ciencia, tecnología e innovación</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Transporte</a:t>
          </a:r>
        </a:p>
      </dsp:txBody>
      <dsp:txXfrm>
        <a:off x="1448188" y="459505"/>
        <a:ext cx="1263702" cy="2547703"/>
      </dsp:txXfrm>
    </dsp:sp>
    <dsp:sp modelId="{EC4B0DAD-B14C-4D12-B291-1DCACE41C2C0}">
      <dsp:nvSpPr>
        <dsp:cNvPr id="0" name=""/>
        <dsp:cNvSpPr/>
      </dsp:nvSpPr>
      <dsp:spPr>
        <a:xfrm>
          <a:off x="2888809" y="20999"/>
          <a:ext cx="1263702" cy="438506"/>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MX" sz="1200" kern="1200">
              <a:latin typeface="Tahoma" panose="020B0604030504040204" pitchFamily="34" charset="0"/>
              <a:ea typeface="Tahoma" panose="020B0604030504040204" pitchFamily="34" charset="0"/>
              <a:cs typeface="Tahoma" panose="020B0604030504040204" pitchFamily="34" charset="0"/>
            </a:rPr>
            <a:t>Gobierno:</a:t>
          </a:r>
        </a:p>
      </dsp:txBody>
      <dsp:txXfrm>
        <a:off x="2888809" y="20999"/>
        <a:ext cx="1263702" cy="438506"/>
      </dsp:txXfrm>
    </dsp:sp>
    <dsp:sp modelId="{5E57B212-810E-4F88-BBAA-59CAB7787CA0}">
      <dsp:nvSpPr>
        <dsp:cNvPr id="0" name=""/>
        <dsp:cNvSpPr/>
      </dsp:nvSpPr>
      <dsp:spPr>
        <a:xfrm>
          <a:off x="2888809" y="459505"/>
          <a:ext cx="1263702" cy="2547703"/>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Otros servicios generales</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Legislación</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Asuntos de orden público y de seguridad interior</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Asuntos financieros y hacendarios</a:t>
          </a:r>
        </a:p>
      </dsp:txBody>
      <dsp:txXfrm>
        <a:off x="2888809" y="459505"/>
        <a:ext cx="1263702" cy="2547703"/>
      </dsp:txXfrm>
    </dsp:sp>
    <dsp:sp modelId="{3F2FFE88-71E0-45D4-A9A2-5C40D676F391}">
      <dsp:nvSpPr>
        <dsp:cNvPr id="0" name=""/>
        <dsp:cNvSpPr/>
      </dsp:nvSpPr>
      <dsp:spPr>
        <a:xfrm>
          <a:off x="4329429" y="20999"/>
          <a:ext cx="1263702" cy="438506"/>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MX" sz="1200" kern="1200">
              <a:latin typeface="Tahoma" panose="020B0604030504040204" pitchFamily="34" charset="0"/>
              <a:ea typeface="Tahoma" panose="020B0604030504040204" pitchFamily="34" charset="0"/>
              <a:cs typeface="Tahoma" panose="020B0604030504040204" pitchFamily="34" charset="0"/>
            </a:rPr>
            <a:t>No clasificadas:</a:t>
          </a:r>
        </a:p>
      </dsp:txBody>
      <dsp:txXfrm>
        <a:off x="4329429" y="20999"/>
        <a:ext cx="1263702" cy="438506"/>
      </dsp:txXfrm>
    </dsp:sp>
    <dsp:sp modelId="{2269E86C-5596-4CFE-9DAC-17213F4848C1}">
      <dsp:nvSpPr>
        <dsp:cNvPr id="0" name=""/>
        <dsp:cNvSpPr/>
      </dsp:nvSpPr>
      <dsp:spPr>
        <a:xfrm>
          <a:off x="4329429" y="459505"/>
          <a:ext cx="1263702" cy="2547703"/>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Transferencias, participaciones y aportaciones entre diferentes niveles y órdenes de gobierno</a:t>
          </a:r>
        </a:p>
        <a:p>
          <a:pPr marL="114300" lvl="1" indent="-114300" algn="l" defTabSz="533400">
            <a:lnSpc>
              <a:spcPct val="90000"/>
            </a:lnSpc>
            <a:spcBef>
              <a:spcPct val="0"/>
            </a:spcBef>
            <a:spcAft>
              <a:spcPct val="15000"/>
            </a:spcAft>
            <a:buChar char="••"/>
          </a:pPr>
          <a:r>
            <a:rPr lang="es-MX" sz="1200" kern="1200">
              <a:latin typeface="Tahoma" panose="020B0604030504040204" pitchFamily="34" charset="0"/>
              <a:ea typeface="Tahoma" panose="020B0604030504040204" pitchFamily="34" charset="0"/>
              <a:cs typeface="Tahoma" panose="020B0604030504040204" pitchFamily="34" charset="0"/>
            </a:rPr>
            <a:t>Transacciones de la deuda pública Costo financiero de la deuda</a:t>
          </a:r>
        </a:p>
      </dsp:txBody>
      <dsp:txXfrm>
        <a:off x="4329429" y="459505"/>
        <a:ext cx="1263702" cy="25477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A48FB-3FB8-48E2-8482-B9F898FE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11476</Words>
  <Characters>65417</Characters>
  <Application>Microsoft Office Word</Application>
  <DocSecurity>4</DocSecurity>
  <Lines>545</Lines>
  <Paragraphs>153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Grupo Ruba</Company>
  <LinksUpToDate>false</LinksUpToDate>
  <CharactersWithSpaces>76740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SSYTEC</dc:creator>
  <cp:lastModifiedBy>Rosalinda Covarrubias Sandoval</cp:lastModifiedBy>
  <cp:revision>2</cp:revision>
  <cp:lastPrinted>2018-07-28T23:01:00Z</cp:lastPrinted>
  <dcterms:created xsi:type="dcterms:W3CDTF">2018-10-09T19:53:00Z</dcterms:created>
  <dcterms:modified xsi:type="dcterms:W3CDTF">2018-10-09T19:53:00Z</dcterms:modified>
</cp:coreProperties>
</file>